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特急</w:t>
      </w:r>
    </w:p>
    <w:p>
      <w:pPr>
        <w:spacing w:line="360" w:lineRule="auto"/>
        <w:jc w:val="left"/>
        <w:rPr>
          <w:rFonts w:ascii="宋体" w:hAnsi="宋体" w:eastAsia="宋体"/>
          <w:sz w:val="36"/>
          <w:szCs w:val="36"/>
        </w:rPr>
      </w:pPr>
      <w:r>
        <w:rPr>
          <w:rFonts w:hint="eastAsia" w:ascii="黑体" w:hAnsi="黑体" w:eastAsia="黑体" w:cs="黑体"/>
          <w:b w:val="0"/>
          <w:bCs w:val="0"/>
          <w:sz w:val="30"/>
          <w:szCs w:val="30"/>
          <w:lang w:val="en-US" w:eastAsia="zh-CN"/>
        </w:rPr>
        <w:t>内部</w:t>
      </w:r>
    </w:p>
    <w:p>
      <w:pPr>
        <w:spacing w:line="360" w:lineRule="auto"/>
        <w:jc w:val="center"/>
        <w:rPr>
          <w:rFonts w:ascii="宋体" w:hAnsi="宋体" w:eastAsia="宋体"/>
          <w:sz w:val="36"/>
          <w:szCs w:val="36"/>
        </w:rPr>
      </w:pP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-285750</wp:posOffset>
            </wp:positionH>
            <wp:positionV relativeFrom="paragraph">
              <wp:posOffset>92710</wp:posOffset>
            </wp:positionV>
            <wp:extent cx="5809615" cy="1014730"/>
            <wp:effectExtent l="0" t="0" r="635" b="13970"/>
            <wp:wrapNone/>
            <wp:docPr id="4" name="图片 4" descr="协会红头便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协会红头便函"/>
                    <pic:cNvPicPr>
                      <a:picLocks noChangeAspect="1"/>
                    </pic:cNvPicPr>
                  </pic:nvPicPr>
                  <pic:blipFill>
                    <a:blip r:embed="rId5"/>
                    <a:stretch>
                      <a:fillRect/>
                    </a:stretch>
                  </pic:blipFill>
                  <pic:spPr>
                    <a:xfrm>
                      <a:off x="0" y="0"/>
                      <a:ext cx="5809615" cy="1014730"/>
                    </a:xfrm>
                    <a:prstGeom prst="rect">
                      <a:avLst/>
                    </a:prstGeom>
                  </pic:spPr>
                </pic:pic>
              </a:graphicData>
            </a:graphic>
          </wp:anchor>
        </w:drawing>
      </w:r>
    </w:p>
    <w:p>
      <w:pPr>
        <w:spacing w:line="360" w:lineRule="auto"/>
        <w:jc w:val="center"/>
        <w:rPr>
          <w:rFonts w:ascii="宋体" w:hAnsi="宋体" w:eastAsia="宋体"/>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宋体" w:hAnsi="宋体" w:eastAsia="宋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rPr>
          <w:rFonts w:ascii="宋体" w:hAnsi="宋体" w:eastAsia="宋体"/>
          <w:sz w:val="36"/>
          <w:szCs w:val="36"/>
        </w:rPr>
      </w:pPr>
      <w:r>
        <w:rPr>
          <w:rFonts w:hint="eastAsia" w:ascii="宋体" w:hAnsi="宋体" w:eastAsia="宋体" w:cs="宋体"/>
          <w:b/>
          <w:bCs/>
          <w:sz w:val="36"/>
          <w:szCs w:val="36"/>
        </w:rPr>
        <w:t>关于商请协助填报环保企业复工情况的函</w:t>
      </w:r>
    </w:p>
    <w:p>
      <w:pPr>
        <w:spacing w:line="360" w:lineRule="auto"/>
        <w:rPr>
          <w:rFonts w:ascii="仿宋" w:hAnsi="仿宋" w:eastAsia="仿宋"/>
          <w:sz w:val="30"/>
          <w:szCs w:val="30"/>
        </w:rPr>
      </w:pPr>
    </w:p>
    <w:p>
      <w:pPr>
        <w:spacing w:line="360" w:lineRule="auto"/>
        <w:rPr>
          <w:rFonts w:ascii="仿宋" w:hAnsi="仿宋" w:eastAsia="仿宋"/>
          <w:sz w:val="30"/>
          <w:szCs w:val="30"/>
        </w:rPr>
      </w:pPr>
      <w:r>
        <w:rPr>
          <w:rFonts w:hint="eastAsia" w:ascii="仿宋" w:hAnsi="仿宋" w:eastAsia="仿宋"/>
          <w:sz w:val="30"/>
          <w:szCs w:val="30"/>
        </w:rPr>
        <w:t>各省、自治区、直辖市、计划单列市、副省级城市环保产业协会：</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近日，各地企业陆续进入复工期。为进一步落实党中央和国务院关于疫情防控和企业复工复产工作的部署，我会受国家发展</w:t>
      </w:r>
      <w:r>
        <w:rPr>
          <w:rFonts w:hint="eastAsia" w:ascii="仿宋" w:hAnsi="仿宋" w:eastAsia="仿宋"/>
          <w:sz w:val="30"/>
          <w:szCs w:val="30"/>
          <w:lang w:val="en-US" w:eastAsia="zh-CN"/>
        </w:rPr>
        <w:t>和</w:t>
      </w:r>
      <w:r>
        <w:rPr>
          <w:rFonts w:hint="eastAsia" w:ascii="仿宋" w:hAnsi="仿宋" w:eastAsia="仿宋"/>
          <w:sz w:val="30"/>
          <w:szCs w:val="30"/>
        </w:rPr>
        <w:t>改革委员会委托，对城镇污水</w:t>
      </w:r>
      <w:r>
        <w:rPr>
          <w:rFonts w:hint="eastAsia" w:ascii="仿宋" w:hAnsi="仿宋" w:eastAsia="仿宋"/>
          <w:sz w:val="30"/>
          <w:szCs w:val="30"/>
          <w:lang w:eastAsia="zh-CN"/>
        </w:rPr>
        <w:t>、</w:t>
      </w:r>
      <w:r>
        <w:rPr>
          <w:rFonts w:hint="eastAsia" w:ascii="仿宋" w:hAnsi="仿宋" w:eastAsia="仿宋"/>
          <w:sz w:val="30"/>
          <w:szCs w:val="30"/>
        </w:rPr>
        <w:t>垃圾处理行业重点企业在建项目、装备制造类重点企业复工情况进行调查统计。现商请各单位协助做好本区域内环保企业复工情况的统计：</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一、请各单位积极组织本区域内重点企业填报复工</w:t>
      </w:r>
      <w:bookmarkStart w:id="0" w:name="_GoBack"/>
      <w:bookmarkEnd w:id="0"/>
      <w:r>
        <w:rPr>
          <w:rFonts w:hint="eastAsia" w:ascii="仿宋" w:hAnsi="仿宋" w:eastAsia="仿宋"/>
          <w:sz w:val="30"/>
          <w:szCs w:val="30"/>
        </w:rPr>
        <w:t>情况；</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二、填报重点企业以全国</w:t>
      </w:r>
      <w:r>
        <w:rPr>
          <w:rFonts w:hint="eastAsia" w:ascii="仿宋" w:hAnsi="仿宋" w:eastAsia="仿宋"/>
          <w:sz w:val="30"/>
          <w:szCs w:val="30"/>
          <w:lang w:val="en-US" w:eastAsia="zh-CN"/>
        </w:rPr>
        <w:t>环境服务业财务统计和</w:t>
      </w:r>
      <w:r>
        <w:rPr>
          <w:rFonts w:hint="eastAsia" w:ascii="仿宋" w:hAnsi="仿宋" w:eastAsia="仿宋"/>
          <w:sz w:val="30"/>
          <w:szCs w:val="30"/>
        </w:rPr>
        <w:t>重点企业调查范围</w:t>
      </w:r>
      <w:r>
        <w:rPr>
          <w:rFonts w:hint="eastAsia" w:ascii="仿宋" w:hAnsi="仿宋" w:eastAsia="仿宋"/>
          <w:sz w:val="30"/>
          <w:szCs w:val="30"/>
          <w:lang w:eastAsia="zh-CN"/>
        </w:rPr>
        <w:t>（</w:t>
      </w:r>
      <w:r>
        <w:rPr>
          <w:rFonts w:hint="eastAsia" w:ascii="仿宋" w:hAnsi="仿宋" w:eastAsia="仿宋"/>
          <w:sz w:val="30"/>
          <w:szCs w:val="30"/>
          <w:lang w:val="en-US" w:eastAsia="zh-CN"/>
        </w:rPr>
        <w:t>含各省、市协会会员单位</w:t>
      </w:r>
      <w:r>
        <w:rPr>
          <w:rFonts w:hint="eastAsia" w:ascii="仿宋" w:hAnsi="仿宋" w:eastAsia="仿宋"/>
          <w:sz w:val="30"/>
          <w:szCs w:val="30"/>
          <w:lang w:eastAsia="zh-CN"/>
        </w:rPr>
        <w:t>）</w:t>
      </w:r>
      <w:r>
        <w:rPr>
          <w:rFonts w:hint="eastAsia" w:ascii="仿宋" w:hAnsi="仿宋" w:eastAsia="仿宋"/>
          <w:sz w:val="30"/>
          <w:szCs w:val="30"/>
          <w:lang w:val="en-US" w:eastAsia="zh-CN"/>
        </w:rPr>
        <w:t>为主</w:t>
      </w:r>
      <w:r>
        <w:rPr>
          <w:rFonts w:hint="eastAsia" w:ascii="仿宋" w:hAnsi="仿宋" w:eastAsia="仿宋"/>
          <w:sz w:val="30"/>
          <w:szCs w:val="30"/>
        </w:rPr>
        <w:t>，各单位也可将掌握的</w:t>
      </w:r>
      <w:r>
        <w:rPr>
          <w:rFonts w:hint="eastAsia" w:ascii="仿宋" w:hAnsi="仿宋" w:eastAsia="仿宋"/>
          <w:sz w:val="30"/>
          <w:szCs w:val="30"/>
          <w:lang w:val="en-US" w:eastAsia="zh-CN"/>
        </w:rPr>
        <w:t>本辖区内</w:t>
      </w:r>
      <w:r>
        <w:rPr>
          <w:rFonts w:hint="eastAsia" w:ascii="仿宋" w:hAnsi="仿宋" w:eastAsia="仿宋"/>
          <w:sz w:val="30"/>
          <w:szCs w:val="30"/>
        </w:rPr>
        <w:t>其他重点企业情况纳入填报；</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三、各单位对下一步环保产业在疫情防控时期和疫情结束后的走势有何判断，对相关工作和惠企政策有何建议，也可一同报送；</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四、本次调查统计工作适逢疫情防控的特殊时期，时间紧、任务重、困难大，请各单位尽力而为，不求面面俱到，也尽量不给企业增加过多负担。湖北省等疫区的协会请酌情填报。</w:t>
      </w:r>
    </w:p>
    <w:p>
      <w:pPr>
        <w:spacing w:line="360" w:lineRule="auto"/>
        <w:ind w:firstLine="600" w:firstLineChars="200"/>
        <w:rPr>
          <w:rFonts w:hint="eastAsia" w:ascii="仿宋" w:hAnsi="仿宋" w:eastAsia="仿宋"/>
          <w:sz w:val="30"/>
          <w:szCs w:val="30"/>
          <w:lang w:eastAsia="zh-CN"/>
        </w:rPr>
      </w:pPr>
      <w:r>
        <w:rPr>
          <w:rFonts w:hint="eastAsia" w:ascii="仿宋" w:hAnsi="仿宋" w:eastAsia="仿宋"/>
          <w:sz w:val="30"/>
          <w:szCs w:val="30"/>
        </w:rPr>
        <w:t>五、请各单位于2月17日下班前将统计到的情况报我会，后续如有进一步的情况请及时补充报送</w:t>
      </w:r>
      <w:r>
        <w:rPr>
          <w:rFonts w:hint="eastAsia" w:ascii="仿宋" w:hAnsi="仿宋" w:eastAsia="仿宋"/>
          <w:sz w:val="30"/>
          <w:szCs w:val="30"/>
          <w:lang w:eastAsia="zh-CN"/>
        </w:rPr>
        <w:t>。</w:t>
      </w:r>
    </w:p>
    <w:p>
      <w:pPr>
        <w:spacing w:line="360" w:lineRule="auto"/>
        <w:ind w:firstLine="600" w:firstLineChars="200"/>
        <w:rPr>
          <w:rFonts w:hint="eastAsia" w:ascii="仿宋" w:hAnsi="仿宋" w:eastAsia="仿宋"/>
          <w:sz w:val="30"/>
          <w:szCs w:val="30"/>
          <w:lang w:val="en-US" w:eastAsia="zh-CN"/>
        </w:rPr>
      </w:pPr>
      <w:r>
        <w:rPr>
          <w:rFonts w:hint="eastAsia" w:ascii="仿宋" w:hAnsi="仿宋" w:eastAsia="仿宋"/>
          <w:sz w:val="30"/>
          <w:szCs w:val="30"/>
        </w:rPr>
        <w:t>联系人：</w:t>
      </w:r>
      <w:r>
        <w:rPr>
          <w:rFonts w:hint="eastAsia" w:ascii="仿宋" w:hAnsi="仿宋" w:eastAsia="仿宋"/>
          <w:sz w:val="30"/>
          <w:szCs w:val="30"/>
          <w:lang w:val="en-US" w:eastAsia="zh-CN"/>
        </w:rPr>
        <w:t>王伟</w:t>
      </w:r>
    </w:p>
    <w:p>
      <w:pPr>
        <w:spacing w:line="360" w:lineRule="auto"/>
        <w:ind w:firstLine="600" w:firstLineChars="200"/>
        <w:rPr>
          <w:rFonts w:hint="eastAsia" w:ascii="仿宋" w:hAnsi="仿宋" w:eastAsia="仿宋"/>
          <w:sz w:val="30"/>
          <w:szCs w:val="30"/>
          <w:lang w:val="en-US" w:eastAsia="zh-CN"/>
        </w:rPr>
      </w:pPr>
      <w:r>
        <w:rPr>
          <w:rFonts w:hint="eastAsia" w:ascii="仿宋" w:hAnsi="仿宋" w:eastAsia="仿宋"/>
          <w:sz w:val="30"/>
          <w:szCs w:val="30"/>
        </w:rPr>
        <w:t>电话：</w:t>
      </w:r>
      <w:r>
        <w:rPr>
          <w:rFonts w:hint="eastAsia" w:ascii="仿宋" w:hAnsi="仿宋" w:eastAsia="仿宋"/>
          <w:sz w:val="30"/>
          <w:szCs w:val="30"/>
          <w:lang w:val="en-US" w:eastAsia="zh-CN"/>
        </w:rPr>
        <w:t>010-51555009  13621217562</w:t>
      </w:r>
    </w:p>
    <w:p>
      <w:pPr>
        <w:spacing w:line="360" w:lineRule="auto"/>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邮箱：xxb@caepi.org.cn</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特此函请，望予大力支持！</w:t>
      </w:r>
    </w:p>
    <w:p>
      <w:pPr>
        <w:spacing w:line="360" w:lineRule="auto"/>
        <w:rPr>
          <w:rFonts w:ascii="仿宋" w:hAnsi="仿宋" w:eastAsia="仿宋"/>
          <w:sz w:val="30"/>
          <w:szCs w:val="30"/>
        </w:rPr>
      </w:pP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1.</w:t>
      </w:r>
      <w:r>
        <w:rPr>
          <w:rFonts w:hint="eastAsia" w:ascii="仿宋" w:hAnsi="仿宋" w:eastAsia="仿宋"/>
          <w:sz w:val="30"/>
          <w:szCs w:val="30"/>
        </w:rPr>
        <w:t>城镇污水、垃圾处理行业重点企业在建项目复工</w:t>
      </w:r>
    </w:p>
    <w:p>
      <w:pPr>
        <w:spacing w:line="360" w:lineRule="auto"/>
        <w:ind w:firstLine="1800" w:firstLineChars="600"/>
        <w:rPr>
          <w:rFonts w:ascii="仿宋" w:hAnsi="仿宋" w:eastAsia="仿宋"/>
          <w:sz w:val="30"/>
          <w:szCs w:val="30"/>
        </w:rPr>
      </w:pPr>
      <w:r>
        <w:rPr>
          <w:rFonts w:hint="eastAsia" w:ascii="仿宋" w:hAnsi="仿宋" w:eastAsia="仿宋"/>
          <w:sz w:val="30"/>
          <w:szCs w:val="30"/>
        </w:rPr>
        <w:t>情况统计表</w:t>
      </w:r>
    </w:p>
    <w:p>
      <w:pPr>
        <w:pStyle w:val="9"/>
        <w:numPr>
          <w:numId w:val="0"/>
        </w:numPr>
        <w:spacing w:line="360" w:lineRule="auto"/>
        <w:ind w:left="600" w:leftChars="0" w:firstLine="900" w:firstLineChars="300"/>
        <w:rPr>
          <w:rFonts w:hint="eastAsia"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rPr>
        <w:t>环保装备制造重点企业复工情况统计表</w:t>
      </w:r>
    </w:p>
    <w:p>
      <w:pPr>
        <w:pStyle w:val="9"/>
        <w:numPr>
          <w:numId w:val="0"/>
        </w:numPr>
        <w:spacing w:line="360" w:lineRule="auto"/>
        <w:ind w:left="600" w:leftChars="0" w:firstLine="900" w:firstLineChars="300"/>
        <w:rPr>
          <w:rFonts w:hint="eastAsia" w:ascii="仿宋" w:hAnsi="仿宋" w:eastAsia="仿宋"/>
          <w:sz w:val="30"/>
          <w:szCs w:val="30"/>
          <w:lang w:val="en-US" w:eastAsia="zh-CN"/>
        </w:rPr>
      </w:pPr>
      <w:r>
        <w:rPr>
          <w:rFonts w:hint="eastAsia" w:ascii="仿宋" w:hAnsi="仿宋" w:eastAsia="仿宋"/>
          <w:sz w:val="30"/>
          <w:szCs w:val="30"/>
          <w:lang w:val="en-US" w:eastAsia="zh-CN"/>
        </w:rPr>
        <w:t>3.发改委《关于商请协助提供相关环保项目复工情况</w:t>
      </w:r>
    </w:p>
    <w:p>
      <w:pPr>
        <w:pStyle w:val="9"/>
        <w:numPr>
          <w:numId w:val="0"/>
        </w:numPr>
        <w:spacing w:line="360" w:lineRule="auto"/>
        <w:ind w:left="600" w:leftChars="0" w:firstLine="1200" w:firstLineChars="400"/>
        <w:rPr>
          <w:rFonts w:hint="default" w:ascii="仿宋" w:hAnsi="仿宋" w:eastAsia="仿宋"/>
          <w:sz w:val="30"/>
          <w:szCs w:val="30"/>
          <w:lang w:val="en-US" w:eastAsia="zh-CN"/>
        </w:rPr>
      </w:pPr>
      <w:r>
        <w:rPr>
          <w:rFonts w:hint="eastAsia" w:ascii="仿宋" w:hAnsi="仿宋" w:eastAsia="仿宋"/>
          <w:sz w:val="30"/>
          <w:szCs w:val="30"/>
          <w:lang w:val="en-US" w:eastAsia="zh-CN"/>
        </w:rPr>
        <w:t>的函》</w:t>
      </w:r>
    </w:p>
    <w:p>
      <w:pPr>
        <w:spacing w:line="360" w:lineRule="auto"/>
        <w:rPr>
          <w:rFonts w:ascii="仿宋" w:hAnsi="仿宋" w:eastAsia="仿宋"/>
          <w:sz w:val="30"/>
          <w:szCs w:val="30"/>
        </w:rPr>
      </w:pPr>
    </w:p>
    <w:p>
      <w:pPr>
        <w:spacing w:line="360" w:lineRule="auto"/>
        <w:rPr>
          <w:rFonts w:ascii="仿宋" w:hAnsi="仿宋" w:eastAsia="仿宋"/>
          <w:sz w:val="30"/>
          <w:szCs w:val="30"/>
        </w:rPr>
      </w:pPr>
    </w:p>
    <w:p>
      <w:pPr>
        <w:spacing w:line="360" w:lineRule="auto"/>
        <w:jc w:val="cente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 w:hAnsi="仿宋" w:eastAsia="仿宋"/>
          <w:sz w:val="30"/>
          <w:szCs w:val="30"/>
        </w:rPr>
        <w:t xml:space="preserve">中国环境保护产业协会 </w:t>
      </w:r>
      <w:r>
        <w:rPr>
          <w:rFonts w:ascii="仿宋" w:hAnsi="仿宋" w:eastAsia="仿宋"/>
          <w:sz w:val="30"/>
          <w:szCs w:val="30"/>
        </w:rPr>
        <w:t xml:space="preserve"> </w:t>
      </w:r>
    </w:p>
    <w:p>
      <w:pPr>
        <w:spacing w:line="360" w:lineRule="auto"/>
        <w:jc w:val="center"/>
        <w:rPr>
          <w:rFonts w:hint="eastAsia" w:ascii="仿宋" w:hAnsi="仿宋" w:eastAsia="仿宋"/>
          <w:sz w:val="30"/>
          <w:szCs w:val="30"/>
        </w:rPr>
      </w:pPr>
      <w:r>
        <w:rPr>
          <w:rFonts w:hint="eastAsia" w:ascii="仿宋" w:hAnsi="仿宋" w:eastAsia="仿宋"/>
          <w:sz w:val="30"/>
          <w:szCs w:val="30"/>
          <w:lang w:val="en-US" w:eastAsia="zh-CN"/>
        </w:rPr>
        <w:t xml:space="preserve">                             </w:t>
      </w:r>
      <w:r>
        <w:rPr>
          <w:rFonts w:hint="eastAsia" w:ascii="仿宋" w:hAnsi="仿宋" w:eastAsia="仿宋"/>
          <w:sz w:val="30"/>
          <w:szCs w:val="30"/>
        </w:rPr>
        <w:t>2020年2月12日</w:t>
      </w:r>
    </w:p>
    <w:p>
      <w:pPr>
        <w:spacing w:line="360" w:lineRule="auto"/>
        <w:jc w:val="center"/>
        <w:rPr>
          <w:rFonts w:hint="eastAsia" w:ascii="仿宋" w:hAnsi="仿宋" w:eastAsia="仿宋"/>
          <w:sz w:val="30"/>
          <w:szCs w:val="30"/>
        </w:rPr>
        <w:sectPr>
          <w:footerReference r:id="rId3" w:type="default"/>
          <w:pgSz w:w="11906" w:h="16838"/>
          <w:pgMar w:top="1440" w:right="1800" w:bottom="1440" w:left="1800" w:header="851" w:footer="907" w:gutter="0"/>
          <w:cols w:space="425" w:num="1"/>
          <w:docGrid w:type="lines" w:linePitch="312" w:charSpace="0"/>
        </w:sectPr>
      </w:pPr>
    </w:p>
    <w:tbl>
      <w:tblPr>
        <w:tblW w:w="5000" w:type="pct"/>
        <w:tblInd w:w="0" w:type="dxa"/>
        <w:shd w:val="clear"/>
        <w:tblLayout w:type="autofit"/>
        <w:tblCellMar>
          <w:top w:w="0" w:type="dxa"/>
          <w:left w:w="0" w:type="dxa"/>
          <w:bottom w:w="0" w:type="dxa"/>
          <w:right w:w="0" w:type="dxa"/>
        </w:tblCellMar>
      </w:tblPr>
      <w:tblGrid>
        <w:gridCol w:w="398"/>
        <w:gridCol w:w="35"/>
        <w:gridCol w:w="1203"/>
        <w:gridCol w:w="128"/>
        <w:gridCol w:w="863"/>
        <w:gridCol w:w="172"/>
        <w:gridCol w:w="794"/>
        <w:gridCol w:w="270"/>
        <w:gridCol w:w="722"/>
        <w:gridCol w:w="134"/>
        <w:gridCol w:w="664"/>
        <w:gridCol w:w="552"/>
        <w:gridCol w:w="578"/>
        <w:gridCol w:w="486"/>
        <w:gridCol w:w="506"/>
        <w:gridCol w:w="349"/>
        <w:gridCol w:w="448"/>
        <w:gridCol w:w="706"/>
        <w:gridCol w:w="366"/>
        <w:gridCol w:w="1080"/>
        <w:gridCol w:w="268"/>
        <w:gridCol w:w="774"/>
        <w:gridCol w:w="195"/>
        <w:gridCol w:w="1032"/>
        <w:gridCol w:w="111"/>
        <w:gridCol w:w="931"/>
        <w:gridCol w:w="41"/>
        <w:gridCol w:w="748"/>
      </w:tblGrid>
      <w:tr>
        <w:tblPrEx>
          <w:shd w:val="clear"/>
          <w:tblCellMar>
            <w:top w:w="0" w:type="dxa"/>
            <w:left w:w="0" w:type="dxa"/>
            <w:bottom w:w="0" w:type="dxa"/>
            <w:right w:w="0" w:type="dxa"/>
          </w:tblCellMar>
        </w:tblPrEx>
        <w:trPr>
          <w:trHeight w:val="984" w:hRule="atLeast"/>
        </w:trPr>
        <w:tc>
          <w:tcPr>
            <w:tcW w:w="5000" w:type="pct"/>
            <w:gridSpan w:val="28"/>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sz w:val="36"/>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-260985</wp:posOffset>
                      </wp:positionV>
                      <wp:extent cx="1181100" cy="485775"/>
                      <wp:effectExtent l="0" t="0" r="0" b="0"/>
                      <wp:wrapNone/>
                      <wp:docPr id="1" name="文本框 1"/>
                      <wp:cNvGraphicFramePr/>
                      <a:graphic xmlns:a="http://schemas.openxmlformats.org/drawingml/2006/main">
                        <a:graphicData uri="http://schemas.microsoft.com/office/word/2010/wordprocessingShape">
                          <wps:wsp>
                            <wps:cNvSpPr txBox="1"/>
                            <wps:spPr>
                              <a:xfrm>
                                <a:off x="674370" y="647700"/>
                                <a:ext cx="1181100" cy="48577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30"/>
                                      <w:szCs w:val="30"/>
                                      <w:lang w:val="en-US" w:eastAsia="zh-CN"/>
                                    </w:rPr>
                                  </w:pPr>
                                  <w:r>
                                    <w:rPr>
                                      <w:rFonts w:hint="eastAsia"/>
                                      <w:sz w:val="30"/>
                                      <w:szCs w:val="30"/>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5pt;margin-top:-20.55pt;height:38.25pt;width:93pt;z-index:251658240;mso-width-relative:page;mso-height-relative:page;" filled="f" stroked="f" coordsize="21600,21600" o:gfxdata="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AnZf+&#10;2gAAAAkBAAAPAAAAAAAAAAEAIAAAACIAAABkcnMvZG93bnJldi54bWxQSwECFAAUAAAACACHTuJA&#10;AO5xMpECAAAKBQAADgAAAAAAAAABACAAAAApAQAAZHJzL2Uyb0RvYy54bWxQSwUGAAAAAAYABgBZ&#10;AQAALAYAAAAA&#10;">
                      <v:fill on="f" focussize="0,0"/>
                      <v:stroke on="f" weight="0.5pt"/>
                      <v:imagedata o:title=""/>
                      <o:lock v:ext="edit" aspectratio="f"/>
                      <v:textbox>
                        <w:txbxContent>
                          <w:p>
                            <w:pPr>
                              <w:rPr>
                                <w:rFonts w:hint="default" w:eastAsiaTheme="minorEastAsia"/>
                                <w:sz w:val="30"/>
                                <w:szCs w:val="30"/>
                                <w:lang w:val="en-US" w:eastAsia="zh-CN"/>
                              </w:rPr>
                            </w:pPr>
                            <w:r>
                              <w:rPr>
                                <w:rFonts w:hint="eastAsia"/>
                                <w:sz w:val="30"/>
                                <w:szCs w:val="30"/>
                                <w:lang w:val="en-US" w:eastAsia="zh-CN"/>
                              </w:rPr>
                              <w:t>附件1</w:t>
                            </w:r>
                          </w:p>
                        </w:txbxContent>
                      </v:textbox>
                    </v:shape>
                  </w:pict>
                </mc:Fallback>
              </mc:AlternateContent>
            </w:r>
            <w:r>
              <w:rPr>
                <w:rFonts w:hint="eastAsia" w:ascii="宋体" w:hAnsi="宋体" w:eastAsia="宋体" w:cs="宋体"/>
                <w:b/>
                <w:i w:val="0"/>
                <w:color w:val="000000"/>
                <w:kern w:val="0"/>
                <w:sz w:val="36"/>
                <w:szCs w:val="36"/>
                <w:u w:val="none"/>
                <w:bdr w:val="none" w:color="auto" w:sz="0" w:space="0"/>
                <w:lang w:val="en-US" w:eastAsia="zh-CN" w:bidi="ar"/>
              </w:rPr>
              <w:t>城镇污水、垃圾处理行业重点企业在建项目复工情况统计表</w:t>
            </w:r>
          </w:p>
        </w:tc>
      </w:tr>
      <w:tr>
        <w:tblPrEx>
          <w:tblCellMar>
            <w:top w:w="0" w:type="dxa"/>
            <w:left w:w="0" w:type="dxa"/>
            <w:bottom w:w="0" w:type="dxa"/>
            <w:right w:w="0" w:type="dxa"/>
          </w:tblCellMar>
        </w:tblPrEx>
        <w:trPr>
          <w:trHeight w:val="630" w:hRule="atLeast"/>
        </w:trPr>
        <w:tc>
          <w:tcPr>
            <w:tcW w:w="5000" w:type="pct"/>
            <w:gridSpan w:val="28"/>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Style w:val="11"/>
                <w:bdr w:val="none" w:color="auto" w:sz="0" w:space="0"/>
                <w:lang w:val="en-US" w:eastAsia="zh-CN" w:bidi="ar"/>
              </w:rPr>
              <w:t xml:space="preserve">填报单位：                                                                                                                               </w:t>
            </w:r>
            <w:r>
              <w:rPr>
                <w:rStyle w:val="12"/>
                <w:bdr w:val="none" w:color="auto" w:sz="0" w:space="0"/>
                <w:lang w:val="en-US" w:eastAsia="zh-CN" w:bidi="ar"/>
              </w:rPr>
              <w:t xml:space="preserve">  填报时间：</w:t>
            </w:r>
          </w:p>
        </w:tc>
      </w:tr>
      <w:tr>
        <w:tblPrEx>
          <w:tblCellMar>
            <w:top w:w="0" w:type="dxa"/>
            <w:left w:w="0" w:type="dxa"/>
            <w:bottom w:w="0" w:type="dxa"/>
            <w:right w:w="0" w:type="dxa"/>
          </w:tblCellMar>
        </w:tblPrEx>
        <w:trPr>
          <w:trHeight w:val="720" w:hRule="atLeast"/>
        </w:trPr>
        <w:tc>
          <w:tcPr>
            <w:tcW w:w="136" w:type="pct"/>
            <w:vMerge w:val="restart"/>
            <w:tcBorders>
              <w:top w:val="single" w:color="000000" w:sz="8"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序号</w:t>
            </w:r>
          </w:p>
        </w:tc>
        <w:tc>
          <w:tcPr>
            <w:tcW w:w="426" w:type="pct"/>
            <w:gridSpan w:val="2"/>
            <w:vMerge w:val="restart"/>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企业名称</w:t>
            </w:r>
          </w:p>
        </w:tc>
        <w:tc>
          <w:tcPr>
            <w:tcW w:w="341" w:type="pct"/>
            <w:gridSpan w:val="2"/>
            <w:vMerge w:val="restart"/>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在建项目总数</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①</w:t>
            </w:r>
          </w:p>
        </w:tc>
        <w:tc>
          <w:tcPr>
            <w:tcW w:w="332" w:type="pct"/>
            <w:gridSpan w:val="2"/>
            <w:vMerge w:val="restart"/>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在建项目参与人员总数</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②</w:t>
            </w:r>
          </w:p>
        </w:tc>
        <w:tc>
          <w:tcPr>
            <w:tcW w:w="1004" w:type="pct"/>
            <w:gridSpan w:val="6"/>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截至2月10日人员复工情况</w:t>
            </w:r>
          </w:p>
        </w:tc>
        <w:tc>
          <w:tcPr>
            <w:tcW w:w="984" w:type="pct"/>
            <w:gridSpan w:val="6"/>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预计2月底人员复工情况</w:t>
            </w:r>
          </w:p>
        </w:tc>
        <w:tc>
          <w:tcPr>
            <w:tcW w:w="797" w:type="pct"/>
            <w:gridSpan w:val="4"/>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截至2月10日在建项目复工情况</w:t>
            </w:r>
          </w:p>
        </w:tc>
        <w:tc>
          <w:tcPr>
            <w:tcW w:w="726" w:type="pct"/>
            <w:gridSpan w:val="4"/>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预计2月底在建项目复工情况</w:t>
            </w:r>
          </w:p>
        </w:tc>
        <w:tc>
          <w:tcPr>
            <w:tcW w:w="248" w:type="pct"/>
            <w:tcBorders>
              <w:top w:val="single" w:color="000000" w:sz="8" w:space="0"/>
              <w:left w:val="single" w:color="000000" w:sz="4" w:space="0"/>
              <w:bottom w:val="single" w:color="000000" w:sz="4"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备注</w:t>
            </w:r>
          </w:p>
        </w:tc>
      </w:tr>
      <w:tr>
        <w:tblPrEx>
          <w:tblCellMar>
            <w:top w:w="0" w:type="dxa"/>
            <w:left w:w="0" w:type="dxa"/>
            <w:bottom w:w="0" w:type="dxa"/>
            <w:right w:w="0" w:type="dxa"/>
          </w:tblCellMar>
        </w:tblPrEx>
        <w:trPr>
          <w:trHeight w:val="1113" w:hRule="atLeast"/>
        </w:trPr>
        <w:tc>
          <w:tcPr>
            <w:tcW w:w="136" w:type="pct"/>
            <w:vMerge w:val="continue"/>
            <w:tcBorders>
              <w:top w:val="single" w:color="000000" w:sz="8" w:space="0"/>
              <w:left w:val="single" w:color="000000" w:sz="8"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426" w:type="pct"/>
            <w:gridSpan w:val="2"/>
            <w:vMerge w:val="continue"/>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41" w:type="pct"/>
            <w:gridSpan w:val="2"/>
            <w:vMerge w:val="continue"/>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32" w:type="pct"/>
            <w:gridSpan w:val="2"/>
            <w:vMerge w:val="continue"/>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41"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在家办公人数</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③</w:t>
            </w:r>
          </w:p>
        </w:tc>
        <w:tc>
          <w:tcPr>
            <w:tcW w:w="274"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到岗人数</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④</w:t>
            </w:r>
          </w:p>
        </w:tc>
        <w:tc>
          <w:tcPr>
            <w:tcW w:w="388"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到岗人员复工率</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⑤=④/②</w:t>
            </w:r>
          </w:p>
        </w:tc>
        <w:tc>
          <w:tcPr>
            <w:tcW w:w="341"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在家办公人数</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⑥</w:t>
            </w:r>
          </w:p>
        </w:tc>
        <w:tc>
          <w:tcPr>
            <w:tcW w:w="274"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到岗人数</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⑦</w:t>
            </w:r>
          </w:p>
        </w:tc>
        <w:tc>
          <w:tcPr>
            <w:tcW w:w="368"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到岗人员复工率</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⑧=⑦/②</w:t>
            </w:r>
          </w:p>
        </w:tc>
        <w:tc>
          <w:tcPr>
            <w:tcW w:w="464"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已复工项目数</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⑨</w:t>
            </w:r>
          </w:p>
        </w:tc>
        <w:tc>
          <w:tcPr>
            <w:tcW w:w="332"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复工率</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⑩=⑨/①</w:t>
            </w:r>
          </w:p>
        </w:tc>
        <w:tc>
          <w:tcPr>
            <w:tcW w:w="393"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Style w:val="11"/>
                <w:bdr w:val="none" w:color="auto" w:sz="0" w:space="0"/>
                <w:lang w:val="en-US" w:eastAsia="zh-CN" w:bidi="ar"/>
              </w:rPr>
              <w:t>预计复工项目数</w:t>
            </w:r>
            <w:r>
              <w:rPr>
                <w:rStyle w:val="11"/>
                <w:bdr w:val="none" w:color="auto" w:sz="0" w:space="0"/>
                <w:lang w:val="en-US" w:eastAsia="zh-CN" w:bidi="ar"/>
              </w:rPr>
              <w:br w:type="textWrapping"/>
            </w:r>
            <w:r>
              <w:rPr>
                <w:rStyle w:val="13"/>
                <w:bdr w:val="none" w:color="auto" w:sz="0" w:space="0"/>
                <w:lang w:val="en-US" w:eastAsia="zh-CN" w:bidi="ar"/>
              </w:rPr>
              <w:t>⑪</w:t>
            </w:r>
          </w:p>
        </w:tc>
        <w:tc>
          <w:tcPr>
            <w:tcW w:w="333"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Style w:val="11"/>
                <w:bdr w:val="none" w:color="auto" w:sz="0" w:space="0"/>
                <w:lang w:val="en-US" w:eastAsia="zh-CN" w:bidi="ar"/>
              </w:rPr>
              <w:t>预计复工率</w:t>
            </w:r>
            <w:r>
              <w:rPr>
                <w:rStyle w:val="11"/>
                <w:bdr w:val="none" w:color="auto" w:sz="0" w:space="0"/>
                <w:lang w:val="en-US" w:eastAsia="zh-CN" w:bidi="ar"/>
              </w:rPr>
              <w:br w:type="textWrapping"/>
            </w:r>
            <w:r>
              <w:rPr>
                <w:rStyle w:val="13"/>
                <w:bdr w:val="none" w:color="auto" w:sz="0" w:space="0"/>
                <w:lang w:val="en-US" w:eastAsia="zh-CN" w:bidi="ar"/>
              </w:rPr>
              <w:t>⑫=⑪/①</w:t>
            </w:r>
          </w:p>
        </w:tc>
        <w:tc>
          <w:tcPr>
            <w:tcW w:w="248" w:type="pct"/>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23" w:hRule="atLeast"/>
        </w:trPr>
        <w:tc>
          <w:tcPr>
            <w:tcW w:w="136" w:type="pct"/>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426"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3"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79" w:hRule="atLeast"/>
        </w:trPr>
        <w:tc>
          <w:tcPr>
            <w:tcW w:w="136" w:type="pct"/>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426"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3"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0" w:hRule="atLeast"/>
        </w:trPr>
        <w:tc>
          <w:tcPr>
            <w:tcW w:w="136" w:type="pct"/>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426"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3"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23" w:hRule="atLeast"/>
        </w:trPr>
        <w:tc>
          <w:tcPr>
            <w:tcW w:w="136" w:type="pct"/>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426"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3"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136" w:type="pct"/>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426"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3"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4" w:hRule="atLeast"/>
        </w:trPr>
        <w:tc>
          <w:tcPr>
            <w:tcW w:w="136" w:type="pct"/>
            <w:tcBorders>
              <w:top w:val="single" w:color="000000" w:sz="4" w:space="0"/>
              <w:left w:val="single" w:color="000000" w:sz="8"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bdr w:val="none" w:color="auto" w:sz="0" w:space="0"/>
                <w:lang w:val="en-US" w:eastAsia="zh-CN" w:bidi="ar"/>
              </w:rPr>
              <w:t>…</w:t>
            </w:r>
          </w:p>
        </w:tc>
        <w:tc>
          <w:tcPr>
            <w:tcW w:w="426" w:type="pct"/>
            <w:gridSpan w:val="2"/>
            <w:tcBorders>
              <w:top w:val="single" w:color="000000" w:sz="4" w:space="0"/>
              <w:left w:val="nil"/>
              <w:bottom w:val="single" w:color="000000" w:sz="8"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341" w:type="pct"/>
            <w:gridSpan w:val="2"/>
            <w:tcBorders>
              <w:top w:val="single" w:color="000000" w:sz="4" w:space="0"/>
              <w:left w:val="nil"/>
              <w:bottom w:val="single" w:color="000000" w:sz="8"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332"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1"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8"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4"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2"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3"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3"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5" w:hRule="atLeast"/>
        </w:trPr>
        <w:tc>
          <w:tcPr>
            <w:tcW w:w="5000" w:type="pct"/>
            <w:gridSpan w:val="28"/>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注：1、重点企业选取行业内市场占有率较高或影响力较大的企业</w:t>
            </w:r>
          </w:p>
        </w:tc>
      </w:tr>
      <w:tr>
        <w:tblPrEx>
          <w:tblCellMar>
            <w:top w:w="0" w:type="dxa"/>
            <w:left w:w="0" w:type="dxa"/>
            <w:bottom w:w="0" w:type="dxa"/>
            <w:right w:w="0" w:type="dxa"/>
          </w:tblCellMar>
        </w:tblPrEx>
        <w:trPr>
          <w:trHeight w:val="379" w:hRule="atLeast"/>
        </w:trPr>
        <w:tc>
          <w:tcPr>
            <w:tcW w:w="5000" w:type="pct"/>
            <w:gridSpan w:val="28"/>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2、在建项目指在疫情爆发前已开工但尚未完工的项目</w:t>
            </w:r>
          </w:p>
        </w:tc>
      </w:tr>
      <w:tr>
        <w:tblPrEx>
          <w:tblCellMar>
            <w:top w:w="0" w:type="dxa"/>
            <w:left w:w="0" w:type="dxa"/>
            <w:bottom w:w="0" w:type="dxa"/>
            <w:right w:w="0" w:type="dxa"/>
          </w:tblCellMar>
        </w:tblPrEx>
        <w:trPr>
          <w:trHeight w:val="450" w:hRule="atLeast"/>
        </w:trPr>
        <w:tc>
          <w:tcPr>
            <w:tcW w:w="5000" w:type="pct"/>
            <w:gridSpan w:val="28"/>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3、参与人员数指直接参与在建项目建设、管理、服务的一线工作人员，含正式员工和临时人员</w:t>
            </w:r>
          </w:p>
        </w:tc>
      </w:tr>
      <w:tr>
        <w:tblPrEx>
          <w:tblCellMar>
            <w:top w:w="0" w:type="dxa"/>
            <w:left w:w="0" w:type="dxa"/>
            <w:bottom w:w="0" w:type="dxa"/>
            <w:right w:w="0" w:type="dxa"/>
          </w:tblCellMar>
        </w:tblPrEx>
        <w:trPr>
          <w:trHeight w:val="672" w:hRule="atLeast"/>
        </w:trPr>
        <w:tc>
          <w:tcPr>
            <w:tcW w:w="5000" w:type="pct"/>
            <w:gridSpan w:val="28"/>
            <w:tcBorders>
              <w:top w:val="nil"/>
              <w:left w:val="nil"/>
              <w:bottom w:val="nil"/>
              <w:right w:val="nil"/>
            </w:tcBorders>
            <w:shd w:val="clear"/>
            <w:noWrap/>
            <w:tcMar>
              <w:top w:w="15" w:type="dxa"/>
              <w:left w:w="15" w:type="dxa"/>
              <w:right w:w="15" w:type="dxa"/>
            </w:tcMar>
            <w:vAlign w:val="center"/>
          </w:tcPr>
          <w:p>
            <w:pPr>
              <w:spacing w:line="360" w:lineRule="auto"/>
              <w:jc w:val="center"/>
              <w:rPr>
                <w:rFonts w:hint="eastAsia" w:ascii="宋体" w:hAnsi="宋体" w:eastAsia="宋体" w:cs="宋体"/>
                <w:b/>
                <w:i w:val="0"/>
                <w:color w:val="000000"/>
                <w:sz w:val="40"/>
                <w:szCs w:val="40"/>
                <w:u w:val="none"/>
              </w:rPr>
            </w:pPr>
            <w:r>
              <w:rPr>
                <w:sz w:val="36"/>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-251460</wp:posOffset>
                      </wp:positionV>
                      <wp:extent cx="1181100" cy="4857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81100" cy="485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30"/>
                                      <w:szCs w:val="30"/>
                                      <w:lang w:val="en-US" w:eastAsia="zh-CN"/>
                                    </w:rPr>
                                  </w:pPr>
                                  <w:r>
                                    <w:rPr>
                                      <w:rFonts w:hint="eastAsia"/>
                                      <w:sz w:val="30"/>
                                      <w:szCs w:val="30"/>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5pt;margin-top:-19.8pt;height:38.25pt;width:93pt;z-index:251659264;mso-width-relative:page;mso-height-relative:page;" filled="f" stroked="f" coordsize="21600,21600" o:gfxdata="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4zW/Da&#10;AAAACQEAAA8AAAAAAAAAAQAgAAAAIgAAAGRycy9kb3ducmV2LnhtbFBLAQIUABQAAAAIAIdO4kDo&#10;+MAYHgIAABgEAAAOAAAAAAAAAAEAIAAAACkBAABkcnMvZTJvRG9jLnhtbFBLBQYAAAAABgAGAFkB&#10;AAC5BQAAAAA=&#10;">
                      <v:fill on="f" focussize="0,0"/>
                      <v:stroke on="f" weight="0.5pt"/>
                      <v:imagedata o:title=""/>
                      <o:lock v:ext="edit" aspectratio="f"/>
                      <v:textbox>
                        <w:txbxContent>
                          <w:p>
                            <w:pPr>
                              <w:rPr>
                                <w:rFonts w:hint="default" w:eastAsiaTheme="minorEastAsia"/>
                                <w:sz w:val="30"/>
                                <w:szCs w:val="30"/>
                                <w:lang w:val="en-US" w:eastAsia="zh-CN"/>
                              </w:rPr>
                            </w:pPr>
                            <w:r>
                              <w:rPr>
                                <w:rFonts w:hint="eastAsia"/>
                                <w:sz w:val="30"/>
                                <w:szCs w:val="30"/>
                                <w:lang w:val="en-US" w:eastAsia="zh-CN"/>
                              </w:rPr>
                              <w:t>附件2</w:t>
                            </w:r>
                          </w:p>
                        </w:txbxContent>
                      </v:textbox>
                    </v:shape>
                  </w:pict>
                </mc:Fallback>
              </mc:AlternateContent>
            </w:r>
            <w:r>
              <w:rPr>
                <w:rFonts w:hint="eastAsia" w:ascii="宋体" w:hAnsi="宋体" w:eastAsia="宋体" w:cs="宋体"/>
                <w:b/>
                <w:i w:val="0"/>
                <w:color w:val="000000"/>
                <w:kern w:val="0"/>
                <w:sz w:val="36"/>
                <w:szCs w:val="36"/>
                <w:u w:val="none"/>
                <w:lang w:val="en-US" w:eastAsia="zh-CN" w:bidi="ar"/>
              </w:rPr>
              <w:t>环保装备制造重点企业复工情况统计表</w:t>
            </w:r>
          </w:p>
        </w:tc>
      </w:tr>
      <w:tr>
        <w:tblPrEx>
          <w:tblCellMar>
            <w:top w:w="0" w:type="dxa"/>
            <w:left w:w="0" w:type="dxa"/>
            <w:bottom w:w="0" w:type="dxa"/>
            <w:right w:w="0" w:type="dxa"/>
          </w:tblCellMar>
        </w:tblPrEx>
        <w:trPr>
          <w:trHeight w:val="630" w:hRule="atLeast"/>
        </w:trPr>
        <w:tc>
          <w:tcPr>
            <w:tcW w:w="5000" w:type="pct"/>
            <w:gridSpan w:val="28"/>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Style w:val="14"/>
                <w:bdr w:val="none" w:color="auto" w:sz="0" w:space="0"/>
                <w:lang w:val="en-US" w:eastAsia="zh-CN" w:bidi="ar"/>
              </w:rPr>
              <w:t xml:space="preserve">填报单位：                                                                                                                               </w:t>
            </w:r>
            <w:r>
              <w:rPr>
                <w:rFonts w:hint="eastAsia" w:ascii="宋体" w:hAnsi="宋体" w:eastAsia="宋体" w:cs="宋体"/>
                <w:b/>
                <w:i w:val="0"/>
                <w:color w:val="000000"/>
                <w:kern w:val="0"/>
                <w:sz w:val="24"/>
                <w:szCs w:val="24"/>
                <w:u w:val="none"/>
                <w:bdr w:val="none" w:color="auto" w:sz="0" w:space="0"/>
                <w:lang w:val="en-US" w:eastAsia="zh-CN" w:bidi="ar"/>
              </w:rPr>
              <w:t xml:space="preserve">  填报时间：</w:t>
            </w:r>
          </w:p>
        </w:tc>
      </w:tr>
      <w:tr>
        <w:tblPrEx>
          <w:tblCellMar>
            <w:top w:w="0" w:type="dxa"/>
            <w:left w:w="0" w:type="dxa"/>
            <w:bottom w:w="0" w:type="dxa"/>
            <w:right w:w="0" w:type="dxa"/>
          </w:tblCellMar>
        </w:tblPrEx>
        <w:trPr>
          <w:trHeight w:val="720" w:hRule="atLeast"/>
        </w:trPr>
        <w:tc>
          <w:tcPr>
            <w:tcW w:w="148" w:type="pct"/>
            <w:gridSpan w:val="2"/>
            <w:vMerge w:val="restart"/>
            <w:tcBorders>
              <w:top w:val="single" w:color="000000" w:sz="8"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序号</w:t>
            </w:r>
          </w:p>
        </w:tc>
        <w:tc>
          <w:tcPr>
            <w:tcW w:w="458" w:type="pct"/>
            <w:gridSpan w:val="2"/>
            <w:vMerge w:val="restart"/>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企业名称</w:t>
            </w:r>
          </w:p>
        </w:tc>
        <w:tc>
          <w:tcPr>
            <w:tcW w:w="356" w:type="pct"/>
            <w:gridSpan w:val="2"/>
            <w:vMerge w:val="restart"/>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职工总数</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②</w:t>
            </w:r>
          </w:p>
        </w:tc>
        <w:tc>
          <w:tcPr>
            <w:tcW w:w="1078" w:type="pct"/>
            <w:gridSpan w:val="6"/>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截至2月10日人员复工情况</w:t>
            </w:r>
          </w:p>
        </w:tc>
        <w:tc>
          <w:tcPr>
            <w:tcW w:w="1057" w:type="pct"/>
            <w:gridSpan w:val="6"/>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预计2月底人员复工情况</w:t>
            </w:r>
          </w:p>
        </w:tc>
        <w:tc>
          <w:tcPr>
            <w:tcW w:w="856" w:type="pct"/>
            <w:gridSpan w:val="4"/>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截至2月10日企业复工情况</w:t>
            </w:r>
          </w:p>
        </w:tc>
        <w:tc>
          <w:tcPr>
            <w:tcW w:w="780" w:type="pct"/>
            <w:gridSpan w:val="4"/>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预计2月底企业复工情况</w:t>
            </w:r>
          </w:p>
        </w:tc>
        <w:tc>
          <w:tcPr>
            <w:tcW w:w="263" w:type="pct"/>
            <w:gridSpan w:val="2"/>
            <w:tcBorders>
              <w:top w:val="single" w:color="000000" w:sz="8" w:space="0"/>
              <w:left w:val="single" w:color="000000" w:sz="4" w:space="0"/>
              <w:bottom w:val="single" w:color="000000" w:sz="4"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备注</w:t>
            </w:r>
          </w:p>
        </w:tc>
      </w:tr>
      <w:tr>
        <w:tblPrEx>
          <w:tblCellMar>
            <w:top w:w="0" w:type="dxa"/>
            <w:left w:w="0" w:type="dxa"/>
            <w:bottom w:w="0" w:type="dxa"/>
            <w:right w:w="0" w:type="dxa"/>
          </w:tblCellMar>
        </w:tblPrEx>
        <w:trPr>
          <w:trHeight w:val="990" w:hRule="atLeast"/>
        </w:trPr>
        <w:tc>
          <w:tcPr>
            <w:tcW w:w="148" w:type="pct"/>
            <w:gridSpan w:val="2"/>
            <w:vMerge w:val="continue"/>
            <w:tcBorders>
              <w:top w:val="single" w:color="000000" w:sz="8" w:space="0"/>
              <w:left w:val="single" w:color="000000" w:sz="8"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458" w:type="pct"/>
            <w:gridSpan w:val="2"/>
            <w:vMerge w:val="continue"/>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56" w:type="pct"/>
            <w:gridSpan w:val="2"/>
            <w:vMerge w:val="continue"/>
            <w:tcBorders>
              <w:top w:val="single" w:color="000000" w:sz="8"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366"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在家办公人数</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③</w:t>
            </w:r>
          </w:p>
        </w:tc>
        <w:tc>
          <w:tcPr>
            <w:tcW w:w="294"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到岗人数</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④</w:t>
            </w:r>
          </w:p>
        </w:tc>
        <w:tc>
          <w:tcPr>
            <w:tcW w:w="41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到岗人员复工率</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⑤=④/②</w:t>
            </w:r>
          </w:p>
        </w:tc>
        <w:tc>
          <w:tcPr>
            <w:tcW w:w="366"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在家办公人数</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⑥</w:t>
            </w:r>
          </w:p>
        </w:tc>
        <w:tc>
          <w:tcPr>
            <w:tcW w:w="294"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到岗人数</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⑦</w:t>
            </w:r>
          </w:p>
        </w:tc>
        <w:tc>
          <w:tcPr>
            <w:tcW w:w="396"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到岗人员复工率</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⑧=⑦/②</w:t>
            </w:r>
          </w:p>
        </w:tc>
        <w:tc>
          <w:tcPr>
            <w:tcW w:w="498"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已复工</w:t>
            </w:r>
          </w:p>
        </w:tc>
        <w:tc>
          <w:tcPr>
            <w:tcW w:w="35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尚未复工</w:t>
            </w:r>
          </w:p>
        </w:tc>
        <w:tc>
          <w:tcPr>
            <w:tcW w:w="422"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预计可以复工</w:t>
            </w:r>
          </w:p>
        </w:tc>
        <w:tc>
          <w:tcPr>
            <w:tcW w:w="35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预计尚未复工</w:t>
            </w:r>
          </w:p>
        </w:tc>
        <w:tc>
          <w:tcPr>
            <w:tcW w:w="263" w:type="pct"/>
            <w:gridSpan w:val="2"/>
            <w:tcBorders>
              <w:top w:val="single" w:color="000000" w:sz="4" w:space="0"/>
              <w:left w:val="single" w:color="000000" w:sz="4" w:space="0"/>
              <w:bottom w:val="single" w:color="000000" w:sz="4"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23" w:hRule="atLeast"/>
        </w:trPr>
        <w:tc>
          <w:tcPr>
            <w:tcW w:w="148" w:type="pct"/>
            <w:gridSpan w:val="2"/>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458"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3" w:type="pct"/>
            <w:gridSpan w:val="2"/>
            <w:tcBorders>
              <w:top w:val="single" w:color="000000" w:sz="4" w:space="0"/>
              <w:left w:val="single" w:color="000000" w:sz="4" w:space="0"/>
              <w:bottom w:val="single" w:color="000000" w:sz="4"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79" w:hRule="atLeast"/>
        </w:trPr>
        <w:tc>
          <w:tcPr>
            <w:tcW w:w="148" w:type="pct"/>
            <w:gridSpan w:val="2"/>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458"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3" w:type="pct"/>
            <w:gridSpan w:val="2"/>
            <w:tcBorders>
              <w:top w:val="single" w:color="000000" w:sz="4" w:space="0"/>
              <w:left w:val="single" w:color="000000" w:sz="4" w:space="0"/>
              <w:bottom w:val="single" w:color="000000" w:sz="4"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60" w:hRule="atLeast"/>
        </w:trPr>
        <w:tc>
          <w:tcPr>
            <w:tcW w:w="148" w:type="pct"/>
            <w:gridSpan w:val="2"/>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458"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3" w:type="pct"/>
            <w:gridSpan w:val="2"/>
            <w:tcBorders>
              <w:top w:val="single" w:color="000000" w:sz="4" w:space="0"/>
              <w:left w:val="single" w:color="000000" w:sz="4" w:space="0"/>
              <w:bottom w:val="single" w:color="000000" w:sz="4"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23" w:hRule="atLeast"/>
        </w:trPr>
        <w:tc>
          <w:tcPr>
            <w:tcW w:w="148" w:type="pct"/>
            <w:gridSpan w:val="2"/>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458"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3" w:type="pct"/>
            <w:gridSpan w:val="2"/>
            <w:tcBorders>
              <w:top w:val="single" w:color="000000" w:sz="4" w:space="0"/>
              <w:left w:val="single" w:color="000000" w:sz="4" w:space="0"/>
              <w:bottom w:val="single" w:color="000000" w:sz="4"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trPr>
        <w:tc>
          <w:tcPr>
            <w:tcW w:w="148" w:type="pct"/>
            <w:gridSpan w:val="2"/>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458" w:type="pct"/>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6"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8"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3" w:type="pct"/>
            <w:gridSpan w:val="2"/>
            <w:tcBorders>
              <w:top w:val="single" w:color="000000" w:sz="4" w:space="0"/>
              <w:left w:val="single" w:color="000000" w:sz="4" w:space="0"/>
              <w:bottom w:val="single" w:color="000000" w:sz="4"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679" w:hRule="atLeast"/>
        </w:trPr>
        <w:tc>
          <w:tcPr>
            <w:tcW w:w="148" w:type="pct"/>
            <w:gridSpan w:val="2"/>
            <w:tcBorders>
              <w:top w:val="single" w:color="000000" w:sz="4" w:space="0"/>
              <w:left w:val="single" w:color="000000" w:sz="8" w:space="0"/>
              <w:bottom w:val="single" w:color="000000" w:sz="8"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bdr w:val="none" w:color="auto" w:sz="0" w:space="0"/>
                <w:lang w:val="en-US" w:eastAsia="zh-CN" w:bidi="ar"/>
              </w:rPr>
              <w:t>…</w:t>
            </w:r>
          </w:p>
        </w:tc>
        <w:tc>
          <w:tcPr>
            <w:tcW w:w="458" w:type="pct"/>
            <w:gridSpan w:val="2"/>
            <w:tcBorders>
              <w:top w:val="single" w:color="000000" w:sz="4" w:space="0"/>
              <w:left w:val="nil"/>
              <w:bottom w:val="single" w:color="000000" w:sz="8" w:space="0"/>
              <w:right w:val="single" w:color="000000" w:sz="4" w:space="0"/>
            </w:tcBorders>
            <w:shd w:val="clear"/>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356"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6"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8"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 w:type="pct"/>
            <w:gridSpan w:val="2"/>
            <w:tcBorders>
              <w:top w:val="single" w:color="000000" w:sz="4" w:space="0"/>
              <w:left w:val="single" w:color="000000" w:sz="4" w:space="0"/>
              <w:bottom w:val="single" w:color="000000" w:sz="8"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3" w:type="pct"/>
            <w:gridSpan w:val="2"/>
            <w:tcBorders>
              <w:top w:val="single" w:color="000000" w:sz="4" w:space="0"/>
              <w:left w:val="single" w:color="000000" w:sz="4" w:space="0"/>
              <w:bottom w:val="single" w:color="000000" w:sz="8" w:space="0"/>
              <w:right w:val="single" w:color="000000" w:sz="8"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5000" w:type="pct"/>
            <w:gridSpan w:val="28"/>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注：1、重点企业选取行业内市场占有率较高或影响力较大的企业</w:t>
            </w:r>
          </w:p>
        </w:tc>
      </w:tr>
      <w:tr>
        <w:tblPrEx>
          <w:tblCellMar>
            <w:top w:w="0" w:type="dxa"/>
            <w:left w:w="0" w:type="dxa"/>
            <w:bottom w:w="0" w:type="dxa"/>
            <w:right w:w="0" w:type="dxa"/>
          </w:tblCellMar>
        </w:tblPrEx>
        <w:trPr>
          <w:trHeight w:val="480" w:hRule="atLeast"/>
        </w:trPr>
        <w:tc>
          <w:tcPr>
            <w:tcW w:w="5000" w:type="pct"/>
            <w:gridSpan w:val="28"/>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2、参与人员数指直接参与企业生产、管理、服务的一线工作人员，含正式员工和临时人员</w:t>
            </w:r>
          </w:p>
        </w:tc>
      </w:tr>
    </w:tbl>
    <w:p>
      <w:pPr>
        <w:spacing w:line="360" w:lineRule="auto"/>
        <w:rPr>
          <w:rFonts w:ascii="仿宋" w:hAnsi="仿宋" w:eastAsia="仿宋"/>
          <w:sz w:val="30"/>
          <w:szCs w:val="30"/>
        </w:rPr>
        <w:sectPr>
          <w:pgSz w:w="16838" w:h="11906" w:orient="landscape"/>
          <w:pgMar w:top="1236" w:right="1157" w:bottom="1236" w:left="1157" w:header="851" w:footer="850" w:gutter="0"/>
          <w:cols w:space="425" w:num="1"/>
          <w:docGrid w:type="lines" w:linePitch="312" w:charSpace="0"/>
        </w:sectPr>
      </w:pPr>
    </w:p>
    <w:p>
      <w:pPr>
        <w:spacing w:line="360" w:lineRule="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附件3</w:t>
      </w:r>
    </w:p>
    <w:p>
      <w:pPr>
        <w:spacing w:line="360" w:lineRule="auto"/>
        <w:rPr>
          <w:rFonts w:hint="default" w:ascii="仿宋" w:hAnsi="仿宋" w:eastAsia="仿宋"/>
          <w:sz w:val="30"/>
          <w:szCs w:val="30"/>
          <w:lang w:val="en-US" w:eastAsia="zh-CN"/>
        </w:rPr>
      </w:pPr>
      <w:r>
        <w:rPr>
          <w:rFonts w:hint="default" w:ascii="仿宋" w:hAnsi="仿宋" w:eastAsia="仿宋"/>
          <w:sz w:val="30"/>
          <w:szCs w:val="30"/>
          <w:lang w:val="en-US" w:eastAsia="zh-CN"/>
        </w:rPr>
        <w:drawing>
          <wp:inline distT="0" distB="0" distL="114300" distR="114300">
            <wp:extent cx="6504305" cy="8673465"/>
            <wp:effectExtent l="0" t="0" r="10795" b="13335"/>
            <wp:docPr id="3" name="图片 3" descr="发改委商请协助提高复工情况的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发改委商请协助提高复工情况的函"/>
                    <pic:cNvPicPr>
                      <a:picLocks noChangeAspect="1"/>
                    </pic:cNvPicPr>
                  </pic:nvPicPr>
                  <pic:blipFill>
                    <a:blip r:embed="rId6"/>
                    <a:stretch>
                      <a:fillRect/>
                    </a:stretch>
                  </pic:blipFill>
                  <pic:spPr>
                    <a:xfrm>
                      <a:off x="0" y="0"/>
                      <a:ext cx="6504305" cy="8673465"/>
                    </a:xfrm>
                    <a:prstGeom prst="rect">
                      <a:avLst/>
                    </a:prstGeom>
                  </pic:spPr>
                </pic:pic>
              </a:graphicData>
            </a:graphic>
          </wp:inline>
        </w:drawing>
      </w:r>
    </w:p>
    <w:sectPr>
      <w:pgSz w:w="11906" w:h="16838"/>
      <w:pgMar w:top="1157" w:right="1236" w:bottom="1157" w:left="1236"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幼圆">
    <w:panose1 w:val="0201050906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938904"/>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EE"/>
    <w:rsid w:val="000728F9"/>
    <w:rsid w:val="00111396"/>
    <w:rsid w:val="00252E62"/>
    <w:rsid w:val="002D51C4"/>
    <w:rsid w:val="00321FA4"/>
    <w:rsid w:val="003C34EA"/>
    <w:rsid w:val="0047228A"/>
    <w:rsid w:val="004935C9"/>
    <w:rsid w:val="00630D79"/>
    <w:rsid w:val="00686BEA"/>
    <w:rsid w:val="00702917"/>
    <w:rsid w:val="007F23D1"/>
    <w:rsid w:val="007F2438"/>
    <w:rsid w:val="0094627E"/>
    <w:rsid w:val="00A02DC1"/>
    <w:rsid w:val="00A9090C"/>
    <w:rsid w:val="00B1669B"/>
    <w:rsid w:val="00B85F26"/>
    <w:rsid w:val="00BC2818"/>
    <w:rsid w:val="00C07773"/>
    <w:rsid w:val="00C679E3"/>
    <w:rsid w:val="00CA2BEE"/>
    <w:rsid w:val="00CC568B"/>
    <w:rsid w:val="00D82077"/>
    <w:rsid w:val="00DF312B"/>
    <w:rsid w:val="00E57049"/>
    <w:rsid w:val="00EA43EE"/>
    <w:rsid w:val="00F12C04"/>
    <w:rsid w:val="00FA14F4"/>
    <w:rsid w:val="00FB59FF"/>
    <w:rsid w:val="00FE33CF"/>
    <w:rsid w:val="16E21F48"/>
    <w:rsid w:val="336269E3"/>
    <w:rsid w:val="41515637"/>
    <w:rsid w:val="6A803D55"/>
    <w:rsid w:val="6F9B3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日期 字符"/>
    <w:basedOn w:val="6"/>
    <w:link w:val="2"/>
    <w:semiHidden/>
    <w:qFormat/>
    <w:uiPriority w:val="99"/>
  </w:style>
  <w:style w:type="character" w:customStyle="1" w:styleId="11">
    <w:name w:val="font61"/>
    <w:basedOn w:val="6"/>
    <w:uiPriority w:val="0"/>
    <w:rPr>
      <w:rFonts w:hint="eastAsia" w:ascii="宋体" w:hAnsi="宋体" w:eastAsia="宋体" w:cs="宋体"/>
      <w:b/>
      <w:color w:val="000000"/>
      <w:sz w:val="24"/>
      <w:szCs w:val="24"/>
      <w:u w:val="none"/>
    </w:rPr>
  </w:style>
  <w:style w:type="character" w:customStyle="1" w:styleId="12">
    <w:name w:val="font21"/>
    <w:basedOn w:val="6"/>
    <w:uiPriority w:val="0"/>
    <w:rPr>
      <w:rFonts w:hint="eastAsia" w:ascii="宋体" w:hAnsi="宋体" w:eastAsia="宋体" w:cs="宋体"/>
      <w:b/>
      <w:color w:val="000000"/>
      <w:sz w:val="24"/>
      <w:szCs w:val="24"/>
      <w:u w:val="none"/>
    </w:rPr>
  </w:style>
  <w:style w:type="character" w:customStyle="1" w:styleId="13">
    <w:name w:val="font41"/>
    <w:basedOn w:val="6"/>
    <w:uiPriority w:val="0"/>
    <w:rPr>
      <w:rFonts w:hint="eastAsia" w:ascii="宋体" w:hAnsi="宋体" w:eastAsia="宋体" w:cs="宋体"/>
      <w:b/>
      <w:color w:val="000000"/>
      <w:sz w:val="24"/>
      <w:szCs w:val="24"/>
      <w:u w:val="none"/>
    </w:rPr>
  </w:style>
  <w:style w:type="character" w:customStyle="1" w:styleId="14">
    <w:name w:val="font51"/>
    <w:basedOn w:val="6"/>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Words>
  <Characters>480</Characters>
  <Lines>4</Lines>
  <Paragraphs>1</Paragraphs>
  <TotalTime>8</TotalTime>
  <ScaleCrop>false</ScaleCrop>
  <LinksUpToDate>false</LinksUpToDate>
  <CharactersWithSpaces>563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2020-02-12T05:16:00Z</dcterms:created>
  <dc:creator>Wang Richard</dc:creator>
  <cp:lastModifiedBy>crystina</cp:lastModifiedBy>
  <cp:lastPrinted>2020-02-12T07:32:24Z</cp:lastPrinted>
  <dcterms:modified xsi:type="dcterms:W3CDTF">2020-02-12T07:34:09Z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