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jc w:val="center"/>
        <w:rPr>
          <w:sz w:val="52"/>
          <w:szCs w:val="52"/>
        </w:rPr>
      </w:pPr>
      <w:r>
        <w:rPr>
          <w:color w:val="FF0000"/>
          <w:sz w:val="52"/>
          <w:szCs w:val="52"/>
        </w:rPr>
        <mc:AlternateContent>
          <mc:Choice Requires="wps">
            <w:drawing>
              <wp:anchor distT="0" distB="0" distL="114300" distR="114300" simplePos="0" relativeHeight="251660288" behindDoc="0" locked="0" layoutInCell="1" allowOverlap="1">
                <wp:simplePos x="0" y="0"/>
                <wp:positionH relativeFrom="margin">
                  <wp:posOffset>-468630</wp:posOffset>
                </wp:positionH>
                <wp:positionV relativeFrom="paragraph">
                  <wp:posOffset>880745</wp:posOffset>
                </wp:positionV>
                <wp:extent cx="6119495" cy="0"/>
                <wp:effectExtent l="0" t="19050" r="1460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6.9pt;margin-top:69.35pt;height:0pt;width:481.85pt;mso-position-horizontal-relative:margin;z-index:251660288;mso-width-relative:page;mso-height-relative:page;" filled="f" stroked="t" coordsize="21600,21600" o:gfxdata="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mLba9sAAAALAQAADwAAAAAAAAABACAA&#10;AAAiAAAAZHJzL2Rvd25yZXYueG1sUEsBAhQAFAAAAAgAh07iQHtWg5fRAQAAawMAAA4AAAAAAAAA&#10;AQAgAAAAKgEAAGRycy9lMm9Eb2MueG1sUEsFBgAAAAAGAAYAWQEAAG0FAAAAAA==&#10;">
                <v:fill on="f" focussize="0,0"/>
                <v:stroke weight="3pt" color="#FF0000" joinstyle="round"/>
                <v:imagedata o:title=""/>
                <o:lock v:ext="edit" aspectratio="f"/>
              </v:line>
            </w:pict>
          </mc:Fallback>
        </mc:AlternateContent>
      </w:r>
      <w:r>
        <w:rPr>
          <w:color w:val="FF0000"/>
          <w:sz w:val="52"/>
          <w:szCs w:val="52"/>
        </w:rPr>
        <mc:AlternateContent>
          <mc:Choice Requires="wps">
            <w:drawing>
              <wp:anchor distT="0" distB="0" distL="114300" distR="114300" simplePos="0" relativeHeight="251659264" behindDoc="0" locked="0" layoutInCell="1" allowOverlap="1">
                <wp:simplePos x="0" y="0"/>
                <wp:positionH relativeFrom="margin">
                  <wp:posOffset>-447675</wp:posOffset>
                </wp:positionH>
                <wp:positionV relativeFrom="paragraph">
                  <wp:posOffset>942340</wp:posOffset>
                </wp:positionV>
                <wp:extent cx="611949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19495" cy="952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35.25pt;margin-top:74.2pt;height:0.75pt;width:481.85pt;mso-position-horizontal-relative:margin;z-index:251659264;mso-width-relative:page;mso-height-relative:page;" filled="f" stroked="t" coordsize="21600,21600" o:gfxdata="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Hw/5tsAAAALAQAADwAAAAAAAAAB&#10;ACAAAAAiAAAAZHJzL2Rvd25yZXYueG1sUEsBAhQAFAAAAAgAh07iQEfI6fbUAQAAbgMAAA4AAAAA&#10;AAAAAQAgAAAAKgEAAGRycy9lMm9Eb2MueG1sUEsFBgAAAAAGAAYAWQEAAHAFAAAAAA==&#10;">
                <v:fill on="f" focussize="0,0"/>
                <v:stroke weight="1.5pt" color="#FF0000" joinstyle="round"/>
                <v:imagedata o:title=""/>
                <o:lock v:ext="edit" aspectratio="f"/>
              </v:line>
            </w:pict>
          </mc:Fallback>
        </mc:AlternateContent>
      </w:r>
      <w:r>
        <w:rPr>
          <w:rFonts w:hint="eastAsia" w:ascii="华文中宋" w:hAnsi="华文中宋" w:eastAsia="华文中宋"/>
          <w:color w:val="FF0000"/>
          <w:sz w:val="52"/>
          <w:szCs w:val="52"/>
        </w:rPr>
        <w:t>吉林省环境保护产业协会</w:t>
      </w:r>
    </w:p>
    <w:p>
      <w:pPr>
        <w:jc w:val="center"/>
        <w:rPr>
          <w:rFonts w:ascii="仿宋" w:hAnsi="仿宋" w:eastAsia="仿宋" w:cs="仿宋"/>
          <w:b/>
          <w:sz w:val="44"/>
          <w:szCs w:val="44"/>
          <w:lang w:bidi="ar"/>
        </w:rPr>
      </w:pPr>
      <w:r>
        <w:rPr>
          <w:rFonts w:hint="eastAsia"/>
          <w:b/>
          <w:bCs/>
          <w:sz w:val="32"/>
          <w:szCs w:val="32"/>
        </w:rPr>
        <w:t xml:space="preserve">              </w:t>
      </w:r>
    </w:p>
    <w:p>
      <w:pPr>
        <w:pStyle w:val="4"/>
        <w:widowControl/>
        <w:shd w:val="clear" w:color="auto" w:fill="FFFFFF"/>
        <w:spacing w:before="156" w:beforeLines="50" w:beforeAutospacing="0" w:after="156" w:afterLines="50" w:afterAutospacing="0" w:line="580" w:lineRule="exact"/>
        <w:jc w:val="center"/>
        <w:rPr>
          <w:rFonts w:cs="宋体" w:asciiTheme="minorEastAsia" w:hAnsiTheme="minorEastAsia" w:eastAsiaTheme="minorEastAsia"/>
          <w:b/>
          <w:bCs/>
          <w:color w:val="313131"/>
          <w:sz w:val="44"/>
          <w:szCs w:val="44"/>
        </w:rPr>
      </w:pPr>
      <w:r>
        <w:rPr>
          <w:rFonts w:hint="eastAsia" w:cs="宋体" w:asciiTheme="minorEastAsia" w:hAnsiTheme="minorEastAsia" w:eastAsiaTheme="minorEastAsia"/>
          <w:b/>
          <w:bCs/>
          <w:color w:val="313131"/>
          <w:sz w:val="44"/>
          <w:szCs w:val="44"/>
        </w:rPr>
        <w:t>关于对吉林省环境保护产业协会能力评定证书年检的通知</w:t>
      </w:r>
    </w:p>
    <w:p>
      <w:pPr>
        <w:rPr>
          <w:rFonts w:ascii="仿宋_GB2312" w:hAnsi="仿宋" w:eastAsia="仿宋_GB2312" w:cs="仿宋"/>
          <w:sz w:val="28"/>
          <w:szCs w:val="28"/>
        </w:rPr>
      </w:pPr>
      <w:r>
        <w:rPr>
          <w:rFonts w:hint="eastAsia" w:ascii="仿宋_GB2312" w:hAnsi="仿宋" w:eastAsia="仿宋_GB2312" w:cs="仿宋"/>
          <w:sz w:val="28"/>
          <w:szCs w:val="28"/>
          <w:lang w:bidi="ar"/>
        </w:rPr>
        <w:t>各会员单位：</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为更好的引导污染治理企业运营行业健康发展，加强行业自律，规范环境污染治理能力评价工作，吉林省环境保护产业协会（以下简称“协会”）现对持有</w:t>
      </w:r>
      <w:r>
        <w:rPr>
          <w:rFonts w:hint="eastAsia" w:ascii="仿宋_GB2312" w:hAnsi="仿宋" w:eastAsia="仿宋_GB2312" w:cs="宋体"/>
          <w:sz w:val="28"/>
          <w:szCs w:val="28"/>
          <w:shd w:val="clear" w:color="auto" w:fill="FFFFFF"/>
          <w:lang w:bidi="ar"/>
        </w:rPr>
        <w:t>吉林省环境监理能力证书、吉林省环境污染治理能力证书、吉林省环境污染设施运营服务能力评定证书、吉林省环境保护产品证书和推荐吉林省环境保护产品证书</w:t>
      </w:r>
      <w:r>
        <w:rPr>
          <w:rFonts w:hint="eastAsia" w:ascii="仿宋_GB2312" w:hAnsi="仿宋" w:eastAsia="仿宋_GB2312" w:cs="仿宋"/>
          <w:sz w:val="28"/>
          <w:szCs w:val="28"/>
          <w:lang w:bidi="ar"/>
        </w:rPr>
        <w:t>的企业开展年度审查工作。具体事项通知如下：</w:t>
      </w:r>
    </w:p>
    <w:p>
      <w:pPr>
        <w:rPr>
          <w:rFonts w:ascii="黑体" w:hAnsi="黑体" w:eastAsia="黑体" w:cs="仿宋"/>
          <w:sz w:val="28"/>
          <w:szCs w:val="28"/>
        </w:rPr>
      </w:pPr>
      <w:r>
        <w:rPr>
          <w:rFonts w:hint="eastAsia" w:ascii="黑体" w:hAnsi="黑体" w:eastAsia="黑体" w:cs="仿宋"/>
          <w:sz w:val="28"/>
          <w:szCs w:val="28"/>
          <w:lang w:bidi="ar"/>
        </w:rPr>
        <w:t>一、年检企业范围</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凡2019年12月31日前申报取得</w:t>
      </w:r>
      <w:r>
        <w:rPr>
          <w:rFonts w:hint="eastAsia" w:ascii="仿宋_GB2312" w:hAnsi="仿宋" w:eastAsia="仿宋_GB2312" w:cs="宋体"/>
          <w:sz w:val="28"/>
          <w:szCs w:val="28"/>
          <w:shd w:val="clear" w:color="auto" w:fill="FFFFFF"/>
          <w:lang w:bidi="ar"/>
        </w:rPr>
        <w:t>吉林省环境监理能力证书、吉林省环境污染治理能力证书、吉林省环境污染设施运营服务能力评定证书、吉林省环境保护产品证书和推荐吉林省环境保护产品证书</w:t>
      </w:r>
      <w:r>
        <w:rPr>
          <w:rFonts w:hint="eastAsia" w:ascii="仿宋_GB2312" w:hAnsi="仿宋" w:eastAsia="仿宋_GB2312" w:cs="仿宋"/>
          <w:sz w:val="28"/>
          <w:szCs w:val="28"/>
          <w:lang w:bidi="ar"/>
        </w:rPr>
        <w:t>的企业均需参加年检（资质证书有效期为三年）。</w:t>
      </w:r>
    </w:p>
    <w:p>
      <w:pPr>
        <w:rPr>
          <w:rFonts w:ascii="黑体" w:hAnsi="黑体" w:eastAsia="黑体" w:cs="仿宋"/>
          <w:sz w:val="28"/>
          <w:szCs w:val="28"/>
          <w:lang w:bidi="ar"/>
        </w:rPr>
      </w:pPr>
      <w:r>
        <w:rPr>
          <w:rFonts w:hint="eastAsia" w:ascii="黑体" w:hAnsi="黑体" w:eastAsia="黑体" w:cs="仿宋"/>
          <w:sz w:val="28"/>
          <w:szCs w:val="28"/>
          <w:lang w:bidi="ar"/>
        </w:rPr>
        <w:t>二、年检程序</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（一）提交年检材料</w:t>
      </w:r>
    </w:p>
    <w:p>
      <w:pPr>
        <w:ind w:firstLine="560" w:firstLineChars="200"/>
        <w:rPr>
          <w:rFonts w:ascii="仿宋_GB2312" w:hAnsi="仿宋" w:eastAsia="仿宋_GB2312" w:cs="仿宋"/>
          <w:sz w:val="28"/>
          <w:szCs w:val="28"/>
          <w:lang w:bidi="ar"/>
        </w:rPr>
      </w:pPr>
      <w:r>
        <w:rPr>
          <w:rFonts w:hint="eastAsia" w:ascii="仿宋_GB2312" w:hAnsi="仿宋" w:eastAsia="仿宋_GB2312" w:cs="仿宋"/>
          <w:sz w:val="28"/>
          <w:szCs w:val="28"/>
          <w:lang w:bidi="ar"/>
        </w:rPr>
        <w:t>1、取得</w:t>
      </w:r>
      <w:r>
        <w:rPr>
          <w:rFonts w:hint="eastAsia" w:ascii="仿宋_GB2312" w:hAnsi="仿宋" w:eastAsia="仿宋_GB2312" w:cs="宋体"/>
          <w:sz w:val="28"/>
          <w:szCs w:val="28"/>
          <w:shd w:val="clear" w:color="auto" w:fill="FFFFFF"/>
          <w:lang w:bidi="ar"/>
        </w:rPr>
        <w:t>吉林省环境监理能力证书、吉林省环境污染治理能力证书、吉林省环境保护产品证书和推荐吉林省环境保护产品证书</w:t>
      </w:r>
      <w:r>
        <w:rPr>
          <w:rFonts w:hint="eastAsia" w:ascii="仿宋_GB2312" w:hAnsi="仿宋" w:eastAsia="仿宋_GB2312" w:cs="仿宋"/>
          <w:sz w:val="28"/>
          <w:szCs w:val="28"/>
          <w:lang w:bidi="ar"/>
        </w:rPr>
        <w:t>的参加年检的企业需按照《吉林环境保护产业协会能力评定证书年检管理办法（试行）》（见附件2）提交相关材料。</w:t>
      </w:r>
    </w:p>
    <w:p>
      <w:pPr>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lang w:bidi="ar"/>
        </w:rPr>
        <w:t>2、</w:t>
      </w:r>
      <w:r>
        <w:rPr>
          <w:rFonts w:hint="eastAsia" w:ascii="仿宋_GB2312" w:hAnsi="仿宋" w:eastAsia="仿宋_GB2312" w:cs="宋体"/>
          <w:sz w:val="28"/>
          <w:szCs w:val="28"/>
          <w:shd w:val="clear" w:color="auto" w:fill="FFFFFF"/>
          <w:lang w:bidi="ar"/>
        </w:rPr>
        <w:t>取得吉林省环境污染设施运营服务能力评定证书</w:t>
      </w:r>
      <w:r>
        <w:rPr>
          <w:rFonts w:hint="eastAsia" w:ascii="仿宋_GB2312" w:hAnsi="仿宋" w:eastAsia="仿宋_GB2312" w:cs="仿宋"/>
          <w:sz w:val="28"/>
          <w:szCs w:val="28"/>
          <w:lang w:bidi="ar"/>
        </w:rPr>
        <w:t>的参加年检的企业</w:t>
      </w:r>
      <w:r>
        <w:rPr>
          <w:rFonts w:hint="eastAsia" w:ascii="仿宋_GB2312" w:hAnsi="仿宋" w:eastAsia="仿宋_GB2312" w:cs="仿宋"/>
          <w:kern w:val="0"/>
          <w:sz w:val="28"/>
          <w:szCs w:val="28"/>
        </w:rPr>
        <w:t>对上一年所提供的污染治理设施运行服务情况进行年度评估（审核），填写污染治理设施运行服务情况年度报告表（见附件4）。</w:t>
      </w:r>
    </w:p>
    <w:p>
      <w:pPr>
        <w:ind w:firstLine="560" w:firstLineChars="200"/>
        <w:rPr>
          <w:rFonts w:ascii="仿宋_GB2312" w:hAnsi="仿宋" w:eastAsia="仿宋_GB2312" w:cs="仿宋"/>
          <w:sz w:val="28"/>
          <w:szCs w:val="28"/>
          <w:lang w:bidi="ar"/>
        </w:rPr>
      </w:pPr>
      <w:r>
        <w:rPr>
          <w:rFonts w:hint="eastAsia" w:ascii="仿宋_GB2312" w:hAnsi="仿宋" w:eastAsia="仿宋_GB2312" w:cs="仿宋"/>
          <w:sz w:val="28"/>
          <w:szCs w:val="28"/>
          <w:lang w:bidi="ar"/>
        </w:rPr>
        <w:t>3、所有年检单位将上报材料于5月10日前邮寄至协会；同时，参加年检的企业需将报告表及相关证明材料电子版发送至协会指定邮箱。</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（二）审核年检材料</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协会将依据《</w:t>
      </w:r>
      <w:r>
        <w:rPr>
          <w:rFonts w:hint="eastAsia" w:ascii="仿宋_GB2312" w:hAnsi="仿宋" w:eastAsia="仿宋_GB2312" w:cs="Times New Roman"/>
          <w:sz w:val="28"/>
          <w:szCs w:val="28"/>
          <w:lang w:bidi="ar"/>
        </w:rPr>
        <w:t>吉林环境保护产业协会能力评定证书年检管理办法（试行）</w:t>
      </w:r>
      <w:r>
        <w:rPr>
          <w:rFonts w:hint="eastAsia" w:ascii="仿宋_GB2312" w:hAnsi="仿宋" w:eastAsia="仿宋_GB2312" w:cs="仿宋"/>
          <w:sz w:val="28"/>
          <w:szCs w:val="28"/>
          <w:lang w:bidi="ar"/>
        </w:rPr>
        <w:t>》对企业进行书面审核。对有必要进行进一步核实的企业进行现场复查，对合格企业继续保持原等级，对有重大不良记录的企业公开通报或取消证书，</w:t>
      </w:r>
      <w:r>
        <w:rPr>
          <w:rFonts w:hint="eastAsia" w:ascii="仿宋_GB2312" w:hAnsi="仿宋" w:eastAsia="仿宋_GB2312" w:cs="宋体"/>
          <w:sz w:val="28"/>
          <w:szCs w:val="28"/>
          <w:shd w:val="clear" w:color="auto" w:fill="FFFFFF"/>
          <w:lang w:bidi="ar"/>
        </w:rPr>
        <w:t>对不按要求提交年检材料的，视为年检不通过并予以通报，协会将不接受其证书延期申请。</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（三）公示</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年检结果将在协会网站（www.jlaepi.org）和公众号上公示、发布。通过年检的企业请于</w:t>
      </w:r>
      <w:r>
        <w:rPr>
          <w:rFonts w:hint="eastAsia" w:ascii="仿宋_GB2312" w:hAnsi="仿宋" w:eastAsia="仿宋_GB2312" w:cs="仿宋"/>
          <w:color w:val="FF0000"/>
          <w:sz w:val="28"/>
          <w:szCs w:val="28"/>
          <w:lang w:bidi="ar"/>
        </w:rPr>
        <w:t>5月30日</w:t>
      </w:r>
      <w:r>
        <w:rPr>
          <w:rFonts w:hint="eastAsia" w:ascii="仿宋_GB2312" w:hAnsi="仿宋" w:eastAsia="仿宋_GB2312" w:cs="仿宋"/>
          <w:sz w:val="28"/>
          <w:szCs w:val="28"/>
          <w:lang w:bidi="ar"/>
        </w:rPr>
        <w:t>前到协会进行证书副本年检页盖章。</w:t>
      </w:r>
    </w:p>
    <w:p>
      <w:pPr>
        <w:rPr>
          <w:rFonts w:ascii="黑体" w:hAnsi="黑体" w:eastAsia="黑体" w:cs="仿宋"/>
          <w:sz w:val="28"/>
          <w:szCs w:val="28"/>
          <w:lang w:bidi="ar"/>
        </w:rPr>
      </w:pPr>
      <w:r>
        <w:rPr>
          <w:rFonts w:hint="eastAsia" w:ascii="黑体" w:hAnsi="黑体" w:eastAsia="黑体" w:cs="仿宋"/>
          <w:sz w:val="28"/>
          <w:szCs w:val="28"/>
          <w:lang w:bidi="ar"/>
        </w:rPr>
        <w:t>三、年检费用</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本次年检工作不向企业收取费用。如需核实项目情况确需对企业进行现场考察的，相关人员差旅费等由企业支付。</w:t>
      </w:r>
    </w:p>
    <w:p>
      <w:pPr>
        <w:rPr>
          <w:rFonts w:ascii="黑体" w:hAnsi="黑体" w:eastAsia="黑体" w:cs="仿宋"/>
          <w:sz w:val="28"/>
          <w:szCs w:val="28"/>
          <w:lang w:bidi="ar"/>
        </w:rPr>
      </w:pPr>
      <w:r>
        <w:rPr>
          <w:rFonts w:hint="eastAsia" w:ascii="黑体" w:hAnsi="黑体" w:eastAsia="黑体" w:cs="仿宋"/>
          <w:sz w:val="28"/>
          <w:szCs w:val="28"/>
          <w:lang w:bidi="ar"/>
        </w:rPr>
        <w:t>四、联系方式</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联系人：张雪</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 xml:space="preserve">电    话：0431-81705013；15584390097   </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电子邮箱：</w:t>
      </w:r>
      <w:r>
        <w:rPr>
          <w:rFonts w:hint="eastAsia" w:ascii="Times New Roman" w:hAnsi="Times New Roman" w:eastAsia="仿宋_GB2312" w:cs="Times New Roman"/>
          <w:sz w:val="28"/>
          <w:szCs w:val="28"/>
        </w:rPr>
        <w:t>jlaepi@163.com</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联系地址：长春市净月区长春商会大厦1404室</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lang w:bidi="ar"/>
        </w:rPr>
        <w:t>本通知及附件的电子版可从网www.jlaepi.org通知公告栏目上下载。</w:t>
      </w:r>
    </w:p>
    <w:p>
      <w:pPr>
        <w:rPr>
          <w:rFonts w:ascii="仿宋_GB2312" w:hAnsi="仿宋" w:eastAsia="仿宋_GB2312" w:cs="Times New Roman"/>
          <w:sz w:val="28"/>
          <w:szCs w:val="28"/>
          <w:lang w:bidi="ar"/>
        </w:rPr>
      </w:pPr>
      <w:r>
        <w:rPr>
          <w:rFonts w:hint="eastAsia" w:ascii="仿宋_GB2312" w:hAnsi="仿宋" w:eastAsia="仿宋_GB2312" w:cs="仿宋"/>
          <w:sz w:val="28"/>
          <w:szCs w:val="28"/>
          <w:lang w:bidi="ar"/>
        </w:rPr>
        <w:t>附件：1.</w:t>
      </w:r>
      <w:r>
        <w:rPr>
          <w:rFonts w:hint="eastAsia" w:ascii="仿宋_GB2312" w:hAnsi="仿宋" w:eastAsia="仿宋_GB2312" w:cs="Times New Roman"/>
          <w:sz w:val="28"/>
          <w:szCs w:val="28"/>
          <w:lang w:bidi="ar"/>
        </w:rPr>
        <w:t>吉林环境保护产业协会能力评定证书年检单位表</w:t>
      </w:r>
    </w:p>
    <w:p>
      <w:pPr>
        <w:numPr>
          <w:ilvl w:val="0"/>
          <w:numId w:val="1"/>
        </w:numPr>
        <w:rPr>
          <w:rFonts w:ascii="仿宋_GB2312" w:hAnsi="仿宋" w:eastAsia="仿宋_GB2312" w:cs="Times New Roman"/>
          <w:sz w:val="28"/>
          <w:szCs w:val="28"/>
          <w:lang w:bidi="ar"/>
        </w:rPr>
      </w:pPr>
      <w:r>
        <w:rPr>
          <w:rFonts w:hint="eastAsia" w:ascii="仿宋_GB2312" w:hAnsi="仿宋" w:eastAsia="仿宋_GB2312" w:cs="Times New Roman"/>
          <w:sz w:val="28"/>
          <w:szCs w:val="28"/>
          <w:lang w:bidi="ar"/>
        </w:rPr>
        <w:t>吉林环境保护产业协会能力评定证书年检管理办法（试行）</w:t>
      </w:r>
    </w:p>
    <w:p>
      <w:pPr>
        <w:numPr>
          <w:ilvl w:val="0"/>
          <w:numId w:val="1"/>
        </w:numPr>
        <w:rPr>
          <w:rFonts w:ascii="仿宋_GB2312" w:hAnsi="仿宋" w:eastAsia="仿宋_GB2312" w:cs="Times New Roman"/>
          <w:sz w:val="28"/>
          <w:szCs w:val="28"/>
          <w:lang w:bidi="ar"/>
        </w:rPr>
      </w:pPr>
      <w:r>
        <w:rPr>
          <w:rFonts w:hint="eastAsia" w:ascii="仿宋_GB2312" w:hAnsi="仿宋" w:eastAsia="仿宋_GB2312" w:cs="Times New Roman"/>
          <w:sz w:val="28"/>
          <w:szCs w:val="28"/>
          <w:lang w:bidi="ar"/>
        </w:rPr>
        <w:t>吉林环境保护产业协会能力评定证书年检表</w:t>
      </w:r>
    </w:p>
    <w:p>
      <w:pPr>
        <w:numPr>
          <w:ilvl w:val="0"/>
          <w:numId w:val="1"/>
        </w:numPr>
        <w:rPr>
          <w:rFonts w:ascii="仿宋_GB2312" w:hAnsi="仿宋" w:eastAsia="仿宋_GB2312" w:cs="Times New Roman"/>
          <w:sz w:val="28"/>
          <w:szCs w:val="28"/>
          <w:lang w:bidi="ar"/>
        </w:rPr>
      </w:pPr>
      <w:r>
        <w:rPr>
          <w:rFonts w:hint="eastAsia" w:ascii="仿宋_GB2312" w:hAnsi="仿宋" w:eastAsia="仿宋_GB2312" w:cs="仿宋"/>
          <w:kern w:val="0"/>
          <w:sz w:val="28"/>
          <w:szCs w:val="28"/>
        </w:rPr>
        <w:t>污染治理设施运行服务情况年度报告表</w:t>
      </w:r>
    </w:p>
    <w:p>
      <w:pPr>
        <w:rPr>
          <w:rFonts w:ascii="仿宋_GB2312" w:hAnsi="仿宋" w:eastAsia="仿宋_GB2312" w:cs="仿宋"/>
          <w:sz w:val="28"/>
          <w:szCs w:val="28"/>
        </w:rPr>
      </w:pPr>
    </w:p>
    <w:p>
      <w:pPr>
        <w:rPr>
          <w:rFonts w:ascii="仿宋_GB2312" w:hAnsi="仿宋" w:eastAsia="仿宋_GB2312" w:cs="仿宋"/>
          <w:sz w:val="28"/>
          <w:szCs w:val="28"/>
        </w:rPr>
      </w:pPr>
      <w:r>
        <w:rPr>
          <w:rFonts w:hint="eastAsia" w:ascii="仿宋_GB2312" w:hAnsi="仿宋" w:eastAsia="仿宋_GB2312" w:cs="仿宋"/>
          <w:sz w:val="28"/>
          <w:szCs w:val="28"/>
          <w:lang w:bidi="ar"/>
        </w:rPr>
        <w:t xml:space="preserve">                                     吉林省环境保护产业协会</w:t>
      </w:r>
    </w:p>
    <w:p>
      <w:pPr>
        <w:jc w:val="right"/>
        <w:rPr>
          <w:rFonts w:ascii="仿宋_GB2312" w:hAnsi="仿宋" w:eastAsia="仿宋_GB2312" w:cs="仿宋"/>
          <w:sz w:val="28"/>
          <w:szCs w:val="28"/>
          <w:lang w:bidi="ar"/>
        </w:rPr>
      </w:pPr>
      <w:r>
        <w:rPr>
          <w:rFonts w:hint="eastAsia" w:ascii="仿宋_GB2312" w:hAnsi="仿宋" w:eastAsia="仿宋_GB2312" w:cs="仿宋"/>
          <w:sz w:val="28"/>
          <w:szCs w:val="28"/>
          <w:lang w:bidi="ar"/>
        </w:rPr>
        <w:t>2020年4月14日</w:t>
      </w:r>
    </w:p>
    <w:p>
      <w:pPr>
        <w:widowControl/>
        <w:jc w:val="center"/>
        <w:textAlignment w:val="center"/>
        <w:rPr>
          <w:rFonts w:ascii="仿宋_GB2312" w:hAnsi="宋体" w:eastAsia="仿宋_GB2312" w:cs="仿宋_GB2312"/>
          <w:b/>
          <w:color w:val="000000"/>
          <w:kern w:val="0"/>
          <w:sz w:val="32"/>
          <w:szCs w:val="32"/>
          <w:lang w:bidi="ar"/>
        </w:rPr>
      </w:pPr>
    </w:p>
    <w:p>
      <w:pPr>
        <w:widowControl/>
        <w:jc w:val="center"/>
        <w:textAlignment w:val="center"/>
        <w:rPr>
          <w:rFonts w:ascii="仿宋_GB2312" w:hAnsi="宋体" w:eastAsia="仿宋_GB2312" w:cs="仿宋_GB2312"/>
          <w:b/>
          <w:color w:val="000000"/>
          <w:kern w:val="0"/>
          <w:sz w:val="32"/>
          <w:szCs w:val="32"/>
          <w:lang w:bidi="ar"/>
        </w:rPr>
      </w:pPr>
    </w:p>
    <w:p>
      <w:pPr>
        <w:widowControl/>
        <w:jc w:val="center"/>
        <w:textAlignment w:val="center"/>
        <w:rPr>
          <w:rFonts w:ascii="仿宋_GB2312" w:hAnsi="宋体" w:eastAsia="仿宋_GB2312" w:cs="仿宋_GB2312"/>
          <w:b/>
          <w:color w:val="000000"/>
          <w:kern w:val="0"/>
          <w:sz w:val="32"/>
          <w:szCs w:val="32"/>
          <w:lang w:bidi="ar"/>
        </w:rPr>
      </w:pPr>
    </w:p>
    <w:p>
      <w:pPr>
        <w:widowControl/>
        <w:jc w:val="center"/>
        <w:textAlignment w:val="center"/>
        <w:rPr>
          <w:rFonts w:ascii="仿宋_GB2312" w:hAnsi="宋体" w:eastAsia="仿宋_GB2312" w:cs="仿宋_GB2312"/>
          <w:b/>
          <w:color w:val="000000"/>
          <w:kern w:val="0"/>
          <w:sz w:val="32"/>
          <w:szCs w:val="32"/>
          <w:lang w:bidi="ar"/>
        </w:rPr>
      </w:pPr>
    </w:p>
    <w:p>
      <w:pPr>
        <w:widowControl/>
        <w:jc w:val="center"/>
        <w:textAlignment w:val="center"/>
        <w:rPr>
          <w:rFonts w:ascii="仿宋_GB2312" w:hAnsi="宋体" w:eastAsia="仿宋_GB2312" w:cs="仿宋_GB2312"/>
          <w:b/>
          <w:color w:val="000000"/>
          <w:kern w:val="0"/>
          <w:sz w:val="32"/>
          <w:szCs w:val="32"/>
          <w:lang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EA27"/>
    <w:multiLevelType w:val="singleLevel"/>
    <w:tmpl w:val="A20EEA27"/>
    <w:lvl w:ilvl="0" w:tentative="0">
      <w:start w:val="2"/>
      <w:numFmt w:val="decimal"/>
      <w:suff w:val="space"/>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E7B17"/>
    <w:rsid w:val="004A0FCC"/>
    <w:rsid w:val="004F7B51"/>
    <w:rsid w:val="005D07EC"/>
    <w:rsid w:val="005D62EC"/>
    <w:rsid w:val="00664B8B"/>
    <w:rsid w:val="008B1772"/>
    <w:rsid w:val="00A60B18"/>
    <w:rsid w:val="00B32EF5"/>
    <w:rsid w:val="00C53357"/>
    <w:rsid w:val="00CF265E"/>
    <w:rsid w:val="00DE2F1C"/>
    <w:rsid w:val="00E27CDA"/>
    <w:rsid w:val="00FC41AB"/>
    <w:rsid w:val="26916416"/>
    <w:rsid w:val="4C9E7B17"/>
    <w:rsid w:val="62795C0F"/>
    <w:rsid w:val="628D0A35"/>
    <w:rsid w:val="6763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iPriority w:val="0"/>
    <w:pPr>
      <w:tabs>
        <w:tab w:val="center" w:pos="4153"/>
        <w:tab w:val="right" w:pos="8306"/>
      </w:tabs>
      <w:snapToGrid w:val="0"/>
      <w:jc w:val="left"/>
    </w:pPr>
    <w:rPr>
      <w:sz w:val="18"/>
      <w:szCs w:val="18"/>
    </w:rPr>
  </w:style>
  <w:style w:type="paragraph" w:styleId="3">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link w:val="13"/>
    <w:qFormat/>
    <w:uiPriority w:val="99"/>
    <w:pPr>
      <w:spacing w:beforeAutospacing="1" w:afterAutospacing="1"/>
      <w:jc w:val="left"/>
    </w:pPr>
    <w:rPr>
      <w:rFonts w:ascii="Calibri" w:hAnsi="Calibri" w:eastAsia="宋体" w:cs="Times New Roman"/>
      <w:kern w:val="0"/>
      <w:sz w:val="24"/>
    </w:rPr>
  </w:style>
  <w:style w:type="character" w:styleId="7">
    <w:name w:val="FollowedHyperlink"/>
    <w:basedOn w:val="6"/>
    <w:uiPriority w:val="0"/>
    <w:rPr>
      <w:color w:val="954F72"/>
      <w:u w:val="single"/>
    </w:rPr>
  </w:style>
  <w:style w:type="character" w:styleId="8">
    <w:name w:val="Hyperlink"/>
    <w:basedOn w:val="6"/>
    <w:uiPriority w:val="0"/>
    <w:rPr>
      <w:color w:val="0000FF"/>
      <w:u w:val="single"/>
    </w:rPr>
  </w:style>
  <w:style w:type="character" w:customStyle="1" w:styleId="9">
    <w:name w:val="font01"/>
    <w:basedOn w:val="6"/>
    <w:uiPriority w:val="0"/>
    <w:rPr>
      <w:rFonts w:hint="eastAsia" w:ascii="宋体" w:hAnsi="宋体" w:eastAsia="宋体" w:cs="宋体"/>
      <w:color w:val="000000"/>
      <w:sz w:val="24"/>
      <w:szCs w:val="24"/>
      <w:u w:val="none"/>
    </w:rPr>
  </w:style>
  <w:style w:type="character" w:customStyle="1" w:styleId="10">
    <w:name w:val="font11"/>
    <w:basedOn w:val="6"/>
    <w:uiPriority w:val="0"/>
    <w:rPr>
      <w:rFonts w:hint="eastAsia" w:ascii="宋体" w:hAnsi="宋体" w:eastAsia="宋体" w:cs="宋体"/>
      <w:color w:val="000000"/>
      <w:sz w:val="24"/>
      <w:szCs w:val="24"/>
      <w:u w:val="none"/>
    </w:rPr>
  </w:style>
  <w:style w:type="character" w:customStyle="1" w:styleId="11">
    <w:name w:val="font31"/>
    <w:basedOn w:val="6"/>
    <w:uiPriority w:val="0"/>
    <w:rPr>
      <w:rFonts w:hint="eastAsia" w:ascii="宋体" w:hAnsi="宋体" w:eastAsia="宋体" w:cs="宋体"/>
      <w:color w:val="000000"/>
      <w:sz w:val="24"/>
      <w:szCs w:val="24"/>
      <w:u w:val="none"/>
    </w:rPr>
  </w:style>
  <w:style w:type="character" w:customStyle="1" w:styleId="12">
    <w:name w:val="font81"/>
    <w:basedOn w:val="6"/>
    <w:uiPriority w:val="0"/>
    <w:rPr>
      <w:rFonts w:hint="eastAsia" w:ascii="宋体" w:hAnsi="宋体" w:eastAsia="宋体" w:cs="宋体"/>
      <w:color w:val="000000"/>
      <w:sz w:val="24"/>
      <w:szCs w:val="24"/>
      <w:u w:val="none"/>
    </w:rPr>
  </w:style>
  <w:style w:type="character" w:customStyle="1" w:styleId="13">
    <w:name w:val="普通(网站) Char"/>
    <w:basedOn w:val="6"/>
    <w:link w:val="4"/>
    <w:uiPriority w:val="0"/>
    <w:rPr>
      <w:rFonts w:hint="default" w:ascii="Calibri" w:hAnsi="Calibri" w:eastAsia="宋体" w:cs="Calibri"/>
      <w:sz w:val="24"/>
      <w:szCs w:val="24"/>
    </w:rPr>
  </w:style>
  <w:style w:type="character" w:customStyle="1" w:styleId="14">
    <w:name w:val="页眉 Char"/>
    <w:basedOn w:val="6"/>
    <w:link w:val="3"/>
    <w:uiPriority w:val="0"/>
    <w:rPr>
      <w:rFonts w:asciiTheme="minorHAnsi" w:hAnsiTheme="minorHAnsi" w:eastAsiaTheme="minorEastAsia" w:cstheme="minorBidi"/>
      <w:kern w:val="2"/>
      <w:sz w:val="18"/>
      <w:szCs w:val="18"/>
    </w:rPr>
  </w:style>
  <w:style w:type="character" w:customStyle="1" w:styleId="15">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CCKJC</Company>
  <Pages>7</Pages>
  <Words>518</Words>
  <Characters>2957</Characters>
  <Lines>24</Lines>
  <Paragraphs>6</Paragraphs>
  <TotalTime>10</TotalTime>
  <ScaleCrop>false</ScaleCrop>
  <LinksUpToDate>false</LinksUpToDate>
  <CharactersWithSpaces>3469</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2020-04-13T07:35:00Z</dcterms:created>
  <dc:creator>Administrator</dc:creator>
  <cp:lastModifiedBy>miaoyang</cp:lastModifiedBy>
  <dcterms:modified xsi:type="dcterms:W3CDTF">2020-04-14T06:51:09Z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